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6255" w14:textId="77777777" w:rsidR="00A44A39" w:rsidRDefault="00A44A39">
      <w:pPr>
        <w:jc w:val="both"/>
        <w:rPr>
          <w:rFonts w:ascii="Arial" w:eastAsia="Arial" w:hAnsi="Arial" w:cs="Arial"/>
          <w:color w:val="222222"/>
        </w:rPr>
      </w:pPr>
    </w:p>
    <w:p w14:paraId="3F270AF4" w14:textId="77777777" w:rsidR="00A44A39" w:rsidRDefault="00A44A39">
      <w:pPr>
        <w:jc w:val="both"/>
        <w:rPr>
          <w:rFonts w:ascii="Arial" w:eastAsia="Arial" w:hAnsi="Arial" w:cs="Arial"/>
          <w:color w:val="222222"/>
        </w:rPr>
      </w:pPr>
    </w:p>
    <w:p w14:paraId="57DC15B2" w14:textId="77777777" w:rsidR="00A44A39" w:rsidRDefault="00A44A39">
      <w:pPr>
        <w:jc w:val="both"/>
        <w:rPr>
          <w:rFonts w:ascii="Arial" w:eastAsia="Arial" w:hAnsi="Arial" w:cs="Arial"/>
          <w:color w:val="222222"/>
        </w:rPr>
      </w:pPr>
    </w:p>
    <w:p w14:paraId="31392C73" w14:textId="77777777" w:rsidR="00A44A39" w:rsidRDefault="00A44A39">
      <w:pPr>
        <w:jc w:val="both"/>
        <w:rPr>
          <w:rFonts w:ascii="Arial" w:eastAsia="Arial" w:hAnsi="Arial" w:cs="Arial"/>
          <w:color w:val="222222"/>
        </w:rPr>
      </w:pPr>
    </w:p>
    <w:p w14:paraId="796B08FF" w14:textId="77777777" w:rsidR="00A44A39" w:rsidRDefault="00A44A39">
      <w:pPr>
        <w:jc w:val="right"/>
        <w:rPr>
          <w:b/>
          <w:sz w:val="28"/>
          <w:szCs w:val="28"/>
        </w:rPr>
      </w:pPr>
    </w:p>
    <w:p w14:paraId="1A451AF2" w14:textId="77777777" w:rsidR="00A44A39" w:rsidRDefault="00A44A39">
      <w:pPr>
        <w:jc w:val="right"/>
        <w:rPr>
          <w:b/>
          <w:sz w:val="28"/>
          <w:szCs w:val="28"/>
        </w:rPr>
      </w:pPr>
    </w:p>
    <w:p w14:paraId="68277693" w14:textId="77777777" w:rsidR="00A44A39" w:rsidRDefault="00A44A39">
      <w:pPr>
        <w:jc w:val="right"/>
        <w:rPr>
          <w:b/>
          <w:sz w:val="28"/>
          <w:szCs w:val="28"/>
        </w:rPr>
      </w:pPr>
    </w:p>
    <w:p w14:paraId="4CFCDC3D" w14:textId="77777777" w:rsidR="00A44A39" w:rsidRDefault="00A44A39">
      <w:pPr>
        <w:jc w:val="right"/>
        <w:rPr>
          <w:b/>
          <w:sz w:val="28"/>
          <w:szCs w:val="28"/>
        </w:rPr>
      </w:pPr>
    </w:p>
    <w:p w14:paraId="1B99ED26" w14:textId="77777777" w:rsidR="00A44A39" w:rsidRDefault="00A44A39">
      <w:pPr>
        <w:jc w:val="right"/>
        <w:rPr>
          <w:b/>
          <w:sz w:val="28"/>
          <w:szCs w:val="28"/>
        </w:rPr>
      </w:pPr>
    </w:p>
    <w:p w14:paraId="7B2B8E3D" w14:textId="77777777" w:rsidR="00A44A39" w:rsidRDefault="00A44A39">
      <w:pPr>
        <w:jc w:val="right"/>
        <w:rPr>
          <w:b/>
          <w:sz w:val="28"/>
          <w:szCs w:val="28"/>
        </w:rPr>
      </w:pPr>
    </w:p>
    <w:p w14:paraId="50FCA648" w14:textId="77777777" w:rsidR="00A44A39" w:rsidRDefault="00A44A39">
      <w:pPr>
        <w:jc w:val="right"/>
        <w:rPr>
          <w:b/>
          <w:sz w:val="28"/>
          <w:szCs w:val="28"/>
        </w:rPr>
      </w:pPr>
    </w:p>
    <w:p w14:paraId="0783F632" w14:textId="62D0E7B6" w:rsidR="00A44A39" w:rsidRDefault="00B66862">
      <w:pPr>
        <w:jc w:val="center"/>
        <w:rPr>
          <w:b/>
          <w:sz w:val="28"/>
          <w:szCs w:val="28"/>
        </w:rPr>
      </w:pPr>
      <w:proofErr w:type="gramStart"/>
      <w:r>
        <w:rPr>
          <w:b/>
          <w:sz w:val="28"/>
          <w:szCs w:val="28"/>
        </w:rPr>
        <w:t>PLAN  ANUAL</w:t>
      </w:r>
      <w:proofErr w:type="gramEnd"/>
      <w:r>
        <w:rPr>
          <w:b/>
          <w:sz w:val="28"/>
          <w:szCs w:val="28"/>
        </w:rPr>
        <w:t xml:space="preserve"> DE VACANTES</w:t>
      </w:r>
    </w:p>
    <w:p w14:paraId="6C888E10" w14:textId="7B6C06B8" w:rsidR="00A44A39" w:rsidRDefault="003C0630" w:rsidP="003C0630">
      <w:pPr>
        <w:jc w:val="center"/>
        <w:rPr>
          <w:b/>
          <w:sz w:val="28"/>
          <w:szCs w:val="28"/>
        </w:rPr>
      </w:pPr>
      <w:r>
        <w:rPr>
          <w:b/>
          <w:sz w:val="28"/>
          <w:szCs w:val="28"/>
        </w:rPr>
        <w:t>VIGENCIA 2022</w:t>
      </w:r>
    </w:p>
    <w:p w14:paraId="4DBEFAF7" w14:textId="77777777" w:rsidR="00A44A39" w:rsidRDefault="00A44A39">
      <w:pPr>
        <w:rPr>
          <w:sz w:val="28"/>
          <w:szCs w:val="28"/>
        </w:rPr>
      </w:pPr>
    </w:p>
    <w:p w14:paraId="32AEB903" w14:textId="77777777" w:rsidR="00A44A39" w:rsidRDefault="00A44A39">
      <w:pPr>
        <w:rPr>
          <w:sz w:val="28"/>
          <w:szCs w:val="28"/>
        </w:rPr>
      </w:pPr>
    </w:p>
    <w:p w14:paraId="73FC756A" w14:textId="77777777" w:rsidR="00A44A39" w:rsidRDefault="00A44A39">
      <w:pPr>
        <w:rPr>
          <w:sz w:val="28"/>
          <w:szCs w:val="28"/>
        </w:rPr>
      </w:pPr>
    </w:p>
    <w:p w14:paraId="37314EBB" w14:textId="77777777" w:rsidR="00A44A39" w:rsidRDefault="00A44A39">
      <w:pPr>
        <w:rPr>
          <w:sz w:val="28"/>
          <w:szCs w:val="28"/>
        </w:rPr>
      </w:pPr>
    </w:p>
    <w:p w14:paraId="79A63312" w14:textId="77777777" w:rsidR="00A44A39" w:rsidRDefault="00A44A39">
      <w:pPr>
        <w:rPr>
          <w:sz w:val="28"/>
          <w:szCs w:val="28"/>
        </w:rPr>
      </w:pPr>
    </w:p>
    <w:p w14:paraId="78024341" w14:textId="77777777" w:rsidR="00A44A39" w:rsidRDefault="00A44A39">
      <w:pPr>
        <w:rPr>
          <w:sz w:val="28"/>
          <w:szCs w:val="28"/>
        </w:rPr>
      </w:pPr>
    </w:p>
    <w:p w14:paraId="09DB0F6D" w14:textId="77777777" w:rsidR="00A44A39" w:rsidRDefault="00A44A39">
      <w:pPr>
        <w:rPr>
          <w:sz w:val="28"/>
          <w:szCs w:val="28"/>
        </w:rPr>
      </w:pPr>
    </w:p>
    <w:p w14:paraId="33EB70FC" w14:textId="77777777" w:rsidR="00A44A39" w:rsidRDefault="00A44A39">
      <w:pPr>
        <w:rPr>
          <w:sz w:val="28"/>
          <w:szCs w:val="28"/>
        </w:rPr>
      </w:pPr>
    </w:p>
    <w:p w14:paraId="6A5A49B6" w14:textId="77777777" w:rsidR="00A44A39" w:rsidRDefault="00A44A39">
      <w:pPr>
        <w:rPr>
          <w:sz w:val="28"/>
          <w:szCs w:val="28"/>
        </w:rPr>
      </w:pPr>
    </w:p>
    <w:p w14:paraId="24CAC6FA" w14:textId="77777777" w:rsidR="00A44A39" w:rsidRDefault="00A44A39">
      <w:pPr>
        <w:rPr>
          <w:sz w:val="28"/>
          <w:szCs w:val="28"/>
        </w:rPr>
      </w:pPr>
    </w:p>
    <w:p w14:paraId="124021F7" w14:textId="77777777" w:rsidR="00A44A39" w:rsidRDefault="00A44A39">
      <w:pPr>
        <w:rPr>
          <w:sz w:val="28"/>
          <w:szCs w:val="28"/>
        </w:rPr>
      </w:pPr>
    </w:p>
    <w:p w14:paraId="4163BC99" w14:textId="77777777" w:rsidR="00A44A39" w:rsidRDefault="00A44A39">
      <w:pPr>
        <w:rPr>
          <w:sz w:val="28"/>
          <w:szCs w:val="28"/>
        </w:rPr>
      </w:pPr>
    </w:p>
    <w:p w14:paraId="2A471871" w14:textId="77777777" w:rsidR="00A44A39" w:rsidRDefault="00A44A39">
      <w:pPr>
        <w:rPr>
          <w:sz w:val="28"/>
          <w:szCs w:val="28"/>
        </w:rPr>
      </w:pPr>
    </w:p>
    <w:p w14:paraId="04817F3F" w14:textId="77777777" w:rsidR="00A44A39" w:rsidRDefault="00A44A39">
      <w:pPr>
        <w:rPr>
          <w:sz w:val="28"/>
          <w:szCs w:val="28"/>
        </w:rPr>
      </w:pPr>
    </w:p>
    <w:p w14:paraId="76FB3F58" w14:textId="77777777" w:rsidR="00A44A39" w:rsidRDefault="00A44A39">
      <w:pPr>
        <w:rPr>
          <w:sz w:val="28"/>
          <w:szCs w:val="28"/>
        </w:rPr>
      </w:pPr>
    </w:p>
    <w:p w14:paraId="1FB9FA4C" w14:textId="77777777" w:rsidR="00A44A39" w:rsidRDefault="00B66862">
      <w:pPr>
        <w:jc w:val="center"/>
        <w:rPr>
          <w:b/>
          <w:sz w:val="28"/>
          <w:szCs w:val="28"/>
        </w:rPr>
      </w:pPr>
      <w:r>
        <w:rPr>
          <w:b/>
          <w:sz w:val="28"/>
          <w:szCs w:val="28"/>
        </w:rPr>
        <w:t>CALI 2021</w:t>
      </w:r>
    </w:p>
    <w:p w14:paraId="3CC3FBAB" w14:textId="77777777" w:rsidR="00A44A39" w:rsidRDefault="00A44A39">
      <w:pPr>
        <w:jc w:val="both"/>
        <w:rPr>
          <w:rFonts w:ascii="Arial" w:eastAsia="Arial" w:hAnsi="Arial" w:cs="Arial"/>
          <w:color w:val="222222"/>
        </w:rPr>
      </w:pPr>
    </w:p>
    <w:p w14:paraId="459AA297" w14:textId="77777777" w:rsidR="00A44A39" w:rsidRDefault="00A44A39">
      <w:pPr>
        <w:jc w:val="both"/>
        <w:rPr>
          <w:rFonts w:ascii="Arial" w:eastAsia="Arial" w:hAnsi="Arial" w:cs="Arial"/>
          <w:color w:val="222222"/>
        </w:rPr>
      </w:pPr>
    </w:p>
    <w:p w14:paraId="585C6208" w14:textId="77777777" w:rsidR="00A44A39" w:rsidRDefault="00A44A39">
      <w:pPr>
        <w:jc w:val="both"/>
        <w:rPr>
          <w:rFonts w:ascii="Arial" w:eastAsia="Arial" w:hAnsi="Arial" w:cs="Arial"/>
          <w:color w:val="222222"/>
        </w:rPr>
      </w:pPr>
    </w:p>
    <w:p w14:paraId="6B29AB50" w14:textId="77777777" w:rsidR="00A44A39" w:rsidRDefault="00A44A39">
      <w:pPr>
        <w:jc w:val="both"/>
        <w:rPr>
          <w:rFonts w:ascii="Arial" w:eastAsia="Arial" w:hAnsi="Arial" w:cs="Arial"/>
          <w:color w:val="222222"/>
        </w:rPr>
      </w:pPr>
    </w:p>
    <w:p w14:paraId="389E172C" w14:textId="77777777" w:rsidR="00A44A39" w:rsidRDefault="00A44A39">
      <w:pPr>
        <w:jc w:val="both"/>
        <w:rPr>
          <w:rFonts w:ascii="Arial" w:eastAsia="Arial" w:hAnsi="Arial" w:cs="Arial"/>
          <w:color w:val="222222"/>
        </w:rPr>
      </w:pPr>
    </w:p>
    <w:p w14:paraId="23EBB73F" w14:textId="77777777" w:rsidR="00A44A39" w:rsidRDefault="00A44A39">
      <w:pPr>
        <w:jc w:val="both"/>
      </w:pPr>
    </w:p>
    <w:p w14:paraId="01660509" w14:textId="77777777" w:rsidR="00A44A39" w:rsidRDefault="00B66862">
      <w:pPr>
        <w:numPr>
          <w:ilvl w:val="0"/>
          <w:numId w:val="1"/>
        </w:numPr>
        <w:pBdr>
          <w:top w:val="nil"/>
          <w:left w:val="nil"/>
          <w:bottom w:val="nil"/>
          <w:right w:val="nil"/>
          <w:between w:val="nil"/>
        </w:pBdr>
        <w:jc w:val="both"/>
        <w:rPr>
          <w:rFonts w:eastAsia="Calibri"/>
          <w:b/>
          <w:color w:val="000000"/>
        </w:rPr>
      </w:pPr>
      <w:r>
        <w:rPr>
          <w:rFonts w:eastAsia="Calibri"/>
          <w:b/>
          <w:color w:val="000000"/>
        </w:rPr>
        <w:t>Introducción</w:t>
      </w:r>
    </w:p>
    <w:p w14:paraId="41DBD953" w14:textId="77777777" w:rsidR="00A44A39" w:rsidRDefault="00A44A39">
      <w:pPr>
        <w:jc w:val="both"/>
      </w:pPr>
    </w:p>
    <w:p w14:paraId="2A2D21B1" w14:textId="20781F8F" w:rsidR="00A44A39" w:rsidRDefault="00B66862">
      <w:pPr>
        <w:jc w:val="both"/>
      </w:pPr>
      <w:r>
        <w:lastRenderedPageBreak/>
        <w:t xml:space="preserve">El Plan Anual de Vacantes es un instrumento que tiene como propósito estructurar y actualizar la información de los empleos con vacancia definitiva dentro del Instituto Colombiano de Ballet Clásico, con la finalidad de programar la provisión de estos en la vigencia siguiente o inmediatamente se genere, para que no se afecte la prestación del servicio, siempre y cuando se disponga de la respectiva disponibilidad presupuestal. </w:t>
      </w:r>
      <w:r w:rsidR="003C0630">
        <w:t>La información de las vacancias se actualizará</w:t>
      </w:r>
      <w:r>
        <w:t xml:space="preserve"> en la medida en que se vayan cubriendo o se generen otras. Este Plan, busca establecer cuáles son las necesidades de planta para el cumplimiento de las funciones de la entidad, mejorar los procesos de gestión administrativa, ofrecer igualdad de oportunidades para el acceso y promoción del servicio y estabilidad en los cargos. Por lo anterior, el Instituto Colombiano de Ballet Clásico adelantará el Plan Anual de Vacantes, de acuerdo con los lineamientos establecidos por el Departamento Administrativo de la Función Pública – DAFP – y de conformidad con lo establecido en la normatividad vigente.</w:t>
      </w:r>
    </w:p>
    <w:p w14:paraId="20724EC1" w14:textId="77777777" w:rsidR="00A44A39" w:rsidRDefault="00A44A39">
      <w:pPr>
        <w:jc w:val="both"/>
      </w:pPr>
    </w:p>
    <w:p w14:paraId="5C441894" w14:textId="77777777" w:rsidR="00A44A39" w:rsidRDefault="00B66862">
      <w:pPr>
        <w:numPr>
          <w:ilvl w:val="0"/>
          <w:numId w:val="1"/>
        </w:numPr>
        <w:pBdr>
          <w:top w:val="nil"/>
          <w:left w:val="nil"/>
          <w:bottom w:val="nil"/>
          <w:right w:val="nil"/>
          <w:between w:val="nil"/>
        </w:pBdr>
        <w:jc w:val="both"/>
        <w:rPr>
          <w:rFonts w:eastAsia="Calibri"/>
          <w:b/>
          <w:color w:val="000000"/>
        </w:rPr>
      </w:pPr>
      <w:r>
        <w:rPr>
          <w:rFonts w:eastAsia="Calibri"/>
          <w:b/>
          <w:color w:val="000000"/>
        </w:rPr>
        <w:t xml:space="preserve">Marco jurídico </w:t>
      </w:r>
    </w:p>
    <w:p w14:paraId="3B6FD722" w14:textId="77777777" w:rsidR="00A44A39" w:rsidRDefault="00A44A39">
      <w:pPr>
        <w:jc w:val="both"/>
      </w:pPr>
    </w:p>
    <w:p w14:paraId="4C9D065F" w14:textId="77777777" w:rsidR="00A44A39" w:rsidRDefault="00B66862">
      <w:pPr>
        <w:jc w:val="both"/>
      </w:pPr>
      <w:r>
        <w:t xml:space="preserve">El marco jurídico en el cual se fundamenta el plan de vacantes, para los empleados del Instituto Colombiano de Ballet Clásico, contempla entre otras las siguientes normas: </w:t>
      </w:r>
    </w:p>
    <w:p w14:paraId="3F0A4E3E" w14:textId="77777777" w:rsidR="00A44A39" w:rsidRDefault="00A44A39">
      <w:pPr>
        <w:jc w:val="both"/>
      </w:pPr>
    </w:p>
    <w:p w14:paraId="0968714D" w14:textId="77777777" w:rsidR="00A44A39" w:rsidRDefault="00B66862">
      <w:pPr>
        <w:jc w:val="both"/>
      </w:pPr>
      <w:r>
        <w:t xml:space="preserve">1.1 Ley 909 de 2004 Literal b) artículo 15, el cual prescribe “Elaborar el plan anual de vacantes y remitirlo al Departamento Administrativo de la Función Pública, información que será utilizada para la planeación del recurso humano y la formulación de políticas” </w:t>
      </w:r>
    </w:p>
    <w:p w14:paraId="06CF431C" w14:textId="77777777" w:rsidR="00A44A39" w:rsidRDefault="00A44A39">
      <w:pPr>
        <w:jc w:val="both"/>
      </w:pPr>
    </w:p>
    <w:p w14:paraId="584E3C1F" w14:textId="77777777" w:rsidR="00A44A39" w:rsidRDefault="00B66862">
      <w:pPr>
        <w:jc w:val="both"/>
      </w:pPr>
      <w:r>
        <w:t>1.2 Decreto 2482 de 2012 Por el cual se establecen los lineamientos generales para la integración de la planeación y la gestión, ha previsto dentro de la Política de Gestión del Talento Humano, el Plan Anual de Vacantes, 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otras el Plan de Capacitación, el Plan de Bienestar e Incentivos, los temas relacionados con Clima Organizacional y el Plan Anual de Vacantes”</w:t>
      </w:r>
    </w:p>
    <w:p w14:paraId="4C655EE2" w14:textId="77777777" w:rsidR="00A44A39" w:rsidRDefault="00A44A39">
      <w:pPr>
        <w:jc w:val="both"/>
        <w:rPr>
          <w:rFonts w:ascii="Arial" w:eastAsia="Arial" w:hAnsi="Arial" w:cs="Arial"/>
          <w:color w:val="222222"/>
        </w:rPr>
      </w:pPr>
    </w:p>
    <w:p w14:paraId="67F5D3F9" w14:textId="77777777" w:rsidR="00A44A39" w:rsidRDefault="00B66862">
      <w:pPr>
        <w:jc w:val="both"/>
      </w:pPr>
      <w:r>
        <w:t>1.3 Decreto 1083 de 2015 ARTÍCULO 2.2.6.3 Convocatorias. Corresponde a la Comisión Nacional del Servicio Civil elaborar y suscribir las convocatorias a concurso, con base en las funciones, los requisitos y el perfil de competencias de los empleos definidos por la entidad que posea las vacantes, de acuerdo con el manual específico de funciones y requisitos.</w:t>
      </w:r>
    </w:p>
    <w:p w14:paraId="5CD1E96C" w14:textId="77777777" w:rsidR="00A44A39" w:rsidRDefault="00A44A39">
      <w:pPr>
        <w:jc w:val="both"/>
      </w:pPr>
    </w:p>
    <w:p w14:paraId="7BF4B8A3" w14:textId="77777777" w:rsidR="00A44A39" w:rsidRDefault="00B66862">
      <w:pPr>
        <w:jc w:val="both"/>
      </w:pPr>
      <w:r>
        <w:t>1.3.2 Inciso segundo del ARTÍCULO 2.2.4.9. que señala “Para la aprobación del Plan Anual de Empleos Vacantes, el Departamento Administrativo de la Función Pública podrá verificar que las diferentes entidades y organismos hayan incorporado en sus manuales específicos las competencias de que trata el presente decreto”.</w:t>
      </w:r>
    </w:p>
    <w:p w14:paraId="765C2E56" w14:textId="77777777" w:rsidR="00A44A39" w:rsidRDefault="00A44A39">
      <w:pPr>
        <w:jc w:val="both"/>
      </w:pPr>
    </w:p>
    <w:p w14:paraId="496A9373" w14:textId="77777777" w:rsidR="00A44A39" w:rsidRDefault="00B66862">
      <w:pPr>
        <w:jc w:val="both"/>
      </w:pPr>
      <w:r>
        <w:t>1.3.3 ARTICULO 2.2.19.2.2 Modalidades de concursos. Podrán convocar concursos específicos o generales. Los concursos específicos se adelantarán con propósito de proveer únicamente los empleos vacantes previstos en la convocatoria. Por su parte, los concursos generales tendrán como finalidad proveer los empleos vacantes objeto convocatoria o los que se presenten con posterioridad en empleos iguales o equivalentes, durante la vigencia de la lista de elegibles. Cualquiera sea la modalidad del concurso, podrán participar todas las personas que acrediten los requisitos y el perfil para el desempeño de los empleos.</w:t>
      </w:r>
    </w:p>
    <w:p w14:paraId="18A78682" w14:textId="77777777" w:rsidR="00A44A39" w:rsidRDefault="00A44A39">
      <w:pPr>
        <w:jc w:val="both"/>
      </w:pPr>
    </w:p>
    <w:p w14:paraId="6DDFF9FF" w14:textId="77777777" w:rsidR="00A44A39" w:rsidRDefault="00B66862">
      <w:pPr>
        <w:jc w:val="both"/>
      </w:pPr>
      <w:r>
        <w:t>1.4 Decreto 648 de 2017 ARTÍCULO 2.2.5.3.1 Provisión de las vacancias definitivas. Las vacantes definitivas en empleos de libre nombramiento y remoción serán provistas mediante nombramiento ordinario o mediante encargo, previo cumplimiento de los requisitos exigidos para el desempeño del cargo.</w:t>
      </w:r>
    </w:p>
    <w:p w14:paraId="4486A47F" w14:textId="77777777" w:rsidR="00A44A39" w:rsidRDefault="00A44A39">
      <w:pPr>
        <w:jc w:val="both"/>
      </w:pPr>
    </w:p>
    <w:p w14:paraId="7C617586" w14:textId="77777777" w:rsidR="00A44A39" w:rsidRDefault="00B66862">
      <w:pPr>
        <w:jc w:val="both"/>
      </w:pPr>
      <w:r>
        <w:t>1.4.1 ARTÍCULO 2.2.5.3.3 Provisión de las vacancias temporales. Las vacantes temporales en empleos de libre nombramiento y remoción podrán ser provistas mediante la figura del encargo, el cual deberá recaer en empleados de libre nombramiento y remoción o de carrera administrativa, previo cumplimiento de los requisitos exigidos para el desempeño del cargo.</w:t>
      </w:r>
    </w:p>
    <w:p w14:paraId="41E68A45" w14:textId="77777777" w:rsidR="00A44A39" w:rsidRDefault="00A44A39">
      <w:pPr>
        <w:jc w:val="both"/>
      </w:pPr>
    </w:p>
    <w:p w14:paraId="445344D2" w14:textId="77777777" w:rsidR="00A44A39" w:rsidRDefault="00B66862">
      <w:pPr>
        <w:jc w:val="both"/>
      </w:pPr>
      <w:r>
        <w:t>1.4.2 ARTÍCULO 2.2.5.5.42 Encargo en empleos de carrera. El encargo en empleos de carrera que se encuentren vacantes de manera temporal o definitiva se regirá por lo previsto en la Ley 909 de 2004 y en las normas que la modifiquen, adicionen o reglamenten y por las normas que regulan los sistemas específicos de carrera.</w:t>
      </w:r>
    </w:p>
    <w:p w14:paraId="65F8F35F" w14:textId="77777777" w:rsidR="00A44A39" w:rsidRDefault="00A44A39">
      <w:pPr>
        <w:jc w:val="both"/>
      </w:pPr>
    </w:p>
    <w:p w14:paraId="1A9D83DE" w14:textId="77777777" w:rsidR="00A44A39" w:rsidRDefault="00B66862">
      <w:pPr>
        <w:numPr>
          <w:ilvl w:val="0"/>
          <w:numId w:val="1"/>
        </w:numPr>
        <w:pBdr>
          <w:top w:val="nil"/>
          <w:left w:val="nil"/>
          <w:bottom w:val="nil"/>
          <w:right w:val="nil"/>
          <w:between w:val="nil"/>
        </w:pBdr>
        <w:jc w:val="both"/>
        <w:rPr>
          <w:rFonts w:eastAsia="Calibri"/>
          <w:b/>
          <w:color w:val="000000"/>
        </w:rPr>
      </w:pPr>
      <w:r>
        <w:rPr>
          <w:rFonts w:eastAsia="Calibri"/>
          <w:b/>
          <w:color w:val="000000"/>
        </w:rPr>
        <w:t>Objetivos</w:t>
      </w:r>
    </w:p>
    <w:p w14:paraId="27D894E5" w14:textId="77777777" w:rsidR="00A44A39" w:rsidRDefault="00A44A39">
      <w:pPr>
        <w:jc w:val="both"/>
        <w:rPr>
          <w:b/>
        </w:rPr>
      </w:pPr>
    </w:p>
    <w:p w14:paraId="3AD4E657" w14:textId="77777777" w:rsidR="00A44A39" w:rsidRDefault="00B66862">
      <w:pPr>
        <w:jc w:val="both"/>
        <w:rPr>
          <w:b/>
        </w:rPr>
      </w:pPr>
      <w:r>
        <w:rPr>
          <w:b/>
        </w:rPr>
        <w:t>Objetivo general</w:t>
      </w:r>
    </w:p>
    <w:p w14:paraId="428D26D7" w14:textId="77777777" w:rsidR="00A44A39" w:rsidRDefault="00B66862">
      <w:pPr>
        <w:jc w:val="both"/>
        <w:rPr>
          <w:b/>
        </w:rPr>
      </w:pPr>
      <w:r>
        <w:t xml:space="preserve">Realizar la planeación, administración y actualización de la información relacionada con los cargos de carrera y libre nombramiento y remoción que se encuentran en vacancia definitiva en la institución. </w:t>
      </w:r>
    </w:p>
    <w:p w14:paraId="3C17CF3C" w14:textId="77777777" w:rsidR="00A44A39" w:rsidRDefault="00A44A39">
      <w:pPr>
        <w:jc w:val="both"/>
        <w:rPr>
          <w:b/>
        </w:rPr>
      </w:pPr>
    </w:p>
    <w:p w14:paraId="7876156C" w14:textId="77777777" w:rsidR="00A44A39" w:rsidRDefault="00B66862">
      <w:pPr>
        <w:jc w:val="both"/>
        <w:rPr>
          <w:b/>
        </w:rPr>
      </w:pPr>
      <w:r>
        <w:rPr>
          <w:b/>
        </w:rPr>
        <w:t>Objetivos específicos</w:t>
      </w:r>
    </w:p>
    <w:p w14:paraId="3695CE43" w14:textId="77777777" w:rsidR="00A44A39" w:rsidRDefault="00B66862">
      <w:pPr>
        <w:numPr>
          <w:ilvl w:val="0"/>
          <w:numId w:val="2"/>
        </w:numPr>
        <w:pBdr>
          <w:top w:val="nil"/>
          <w:left w:val="nil"/>
          <w:bottom w:val="nil"/>
          <w:right w:val="nil"/>
          <w:between w:val="nil"/>
        </w:pBdr>
        <w:jc w:val="both"/>
      </w:pPr>
      <w:r>
        <w:rPr>
          <w:rFonts w:eastAsia="Calibri"/>
          <w:color w:val="000000"/>
        </w:rPr>
        <w:t>Identificar los cargos vacantes en la planta de personal a partir de una adecuada caracterización.</w:t>
      </w:r>
    </w:p>
    <w:p w14:paraId="2C16A5BA" w14:textId="77777777" w:rsidR="00A44A39" w:rsidRDefault="00B66862">
      <w:pPr>
        <w:numPr>
          <w:ilvl w:val="0"/>
          <w:numId w:val="2"/>
        </w:numPr>
        <w:pBdr>
          <w:top w:val="nil"/>
          <w:left w:val="nil"/>
          <w:bottom w:val="nil"/>
          <w:right w:val="nil"/>
          <w:between w:val="nil"/>
        </w:pBdr>
        <w:jc w:val="both"/>
      </w:pPr>
      <w:r>
        <w:rPr>
          <w:rFonts w:eastAsia="Calibri"/>
          <w:color w:val="000000"/>
        </w:rPr>
        <w:t xml:space="preserve">Prever las necesidades de talento humano a partir de la actualización de la información de vacancias en la medida en que se configuren nuevos hechos. </w:t>
      </w:r>
    </w:p>
    <w:p w14:paraId="7BE08BAF" w14:textId="77777777" w:rsidR="00A44A39" w:rsidRDefault="00A44A39">
      <w:pPr>
        <w:pBdr>
          <w:top w:val="nil"/>
          <w:left w:val="nil"/>
          <w:bottom w:val="nil"/>
          <w:right w:val="nil"/>
          <w:between w:val="nil"/>
        </w:pBdr>
        <w:ind w:left="720"/>
        <w:jc w:val="both"/>
        <w:rPr>
          <w:rFonts w:eastAsia="Calibri"/>
          <w:color w:val="000000"/>
        </w:rPr>
      </w:pPr>
    </w:p>
    <w:p w14:paraId="705BC4D6" w14:textId="77777777" w:rsidR="00A44A39" w:rsidRDefault="00B66862">
      <w:pPr>
        <w:numPr>
          <w:ilvl w:val="0"/>
          <w:numId w:val="1"/>
        </w:numPr>
        <w:pBdr>
          <w:top w:val="nil"/>
          <w:left w:val="nil"/>
          <w:bottom w:val="nil"/>
          <w:right w:val="nil"/>
          <w:between w:val="nil"/>
        </w:pBdr>
        <w:jc w:val="both"/>
        <w:rPr>
          <w:rFonts w:eastAsia="Calibri"/>
          <w:b/>
          <w:color w:val="000000"/>
        </w:rPr>
      </w:pPr>
      <w:r>
        <w:rPr>
          <w:rFonts w:eastAsia="Calibri"/>
          <w:b/>
          <w:color w:val="000000"/>
        </w:rPr>
        <w:t>Alcance del objetivo</w:t>
      </w:r>
    </w:p>
    <w:p w14:paraId="0B9B4726" w14:textId="77777777" w:rsidR="00A44A39" w:rsidRDefault="00A44A39">
      <w:pPr>
        <w:jc w:val="both"/>
      </w:pPr>
    </w:p>
    <w:p w14:paraId="5F052497" w14:textId="6BC46FE4" w:rsidR="00A44A39" w:rsidRDefault="00B66862">
      <w:pPr>
        <w:jc w:val="both"/>
      </w:pPr>
      <w:r>
        <w:lastRenderedPageBreak/>
        <w:t>Para efectos del presente Plan de Vacantes, se tendrá en cuenta los cargos que se encuentran en vacancia definitiva en el Instituto Colombiano de Ballet Clásico con corte a 31 de diciembre de 202</w:t>
      </w:r>
      <w:r w:rsidR="003C0630">
        <w:t>1</w:t>
      </w:r>
      <w:r>
        <w:t xml:space="preserve"> y los que se generen a lo largo del año. </w:t>
      </w:r>
    </w:p>
    <w:p w14:paraId="6359A000" w14:textId="77777777" w:rsidR="00A44A39" w:rsidRDefault="00A44A39">
      <w:pPr>
        <w:jc w:val="both"/>
      </w:pPr>
    </w:p>
    <w:p w14:paraId="005C1677" w14:textId="77777777" w:rsidR="00A44A39" w:rsidRDefault="00B66862">
      <w:pPr>
        <w:numPr>
          <w:ilvl w:val="0"/>
          <w:numId w:val="1"/>
        </w:numPr>
        <w:pBdr>
          <w:top w:val="nil"/>
          <w:left w:val="nil"/>
          <w:bottom w:val="nil"/>
          <w:right w:val="nil"/>
          <w:between w:val="nil"/>
        </w:pBdr>
        <w:jc w:val="both"/>
        <w:rPr>
          <w:rFonts w:eastAsia="Calibri"/>
          <w:b/>
          <w:color w:val="000000"/>
        </w:rPr>
      </w:pPr>
      <w:r>
        <w:rPr>
          <w:rFonts w:eastAsia="Calibri"/>
          <w:b/>
          <w:color w:val="000000"/>
        </w:rPr>
        <w:t>Definiciones</w:t>
      </w:r>
    </w:p>
    <w:p w14:paraId="67D68D5F" w14:textId="77777777" w:rsidR="00A44A39" w:rsidRDefault="00A44A39">
      <w:pPr>
        <w:jc w:val="both"/>
        <w:rPr>
          <w:b/>
        </w:rPr>
      </w:pPr>
    </w:p>
    <w:p w14:paraId="2CFA73EB" w14:textId="77777777" w:rsidR="00A44A39" w:rsidRDefault="00B66862">
      <w:pPr>
        <w:jc w:val="both"/>
        <w:rPr>
          <w:b/>
        </w:rPr>
      </w:pPr>
      <w:r>
        <w:rPr>
          <w:b/>
        </w:rPr>
        <w:t>Empleo público:</w:t>
      </w:r>
    </w:p>
    <w:p w14:paraId="1F3DD0A5" w14:textId="77777777" w:rsidR="00A44A39" w:rsidRDefault="00B66862">
      <w:pPr>
        <w:jc w:val="both"/>
      </w:pPr>
      <w:r>
        <w:t>El artículo 2° del Decreto 785 de 2005 define el empleo público como “Se entiende por empleo el conjunto de funciones, tareas y responsabilidades que se asignan a una persona y las competencias requeridas para llevarlas a cabo, con el propósito de satisfacer el cumplimiento de los planes de desarrollo y los fines del Estado”.</w:t>
      </w:r>
    </w:p>
    <w:p w14:paraId="217A0E5A" w14:textId="77777777" w:rsidR="00A44A39" w:rsidRDefault="00A44A39">
      <w:pPr>
        <w:jc w:val="both"/>
      </w:pPr>
    </w:p>
    <w:p w14:paraId="62856650" w14:textId="77777777" w:rsidR="00A44A39" w:rsidRDefault="00B66862">
      <w:pPr>
        <w:jc w:val="both"/>
      </w:pPr>
      <w:r>
        <w:t>Las competencias laborales, funciones y requisitos específicos para su ejercicio serán fijados por las autoridades competentes para crearlos, con sujeción a lo previsto en el presente decreto-ley y a los que establezca el Gobierno Nacional, salvo para aquellos empleos cuyas funciones y requisitos estén señalados en la Constitución Política o en leyes especiales.</w:t>
      </w:r>
    </w:p>
    <w:p w14:paraId="32B3002D" w14:textId="77777777" w:rsidR="00A44A39" w:rsidRDefault="00A44A39">
      <w:pPr>
        <w:jc w:val="both"/>
      </w:pPr>
    </w:p>
    <w:p w14:paraId="181A9485" w14:textId="77777777" w:rsidR="00A44A39" w:rsidRDefault="00B66862">
      <w:pPr>
        <w:jc w:val="both"/>
        <w:rPr>
          <w:b/>
        </w:rPr>
      </w:pPr>
      <w:r>
        <w:rPr>
          <w:b/>
        </w:rPr>
        <w:t xml:space="preserve">Clasificación según la naturaleza de las funciones </w:t>
      </w:r>
    </w:p>
    <w:p w14:paraId="4EC06172" w14:textId="77777777" w:rsidR="00A44A39" w:rsidRDefault="00B66862">
      <w:pPr>
        <w:jc w:val="both"/>
      </w:pPr>
      <w:r>
        <w:t>Según la naturaleza general de las funciones, las competencias y los requisitos exigidos para su desempeño, los empleos de las entidades u organismos del orden territorial se encuentran señalados en el Decreto 785 de 2005, clasificados en los siguientes niveles jerárquicos: Nivel Directivo, Nivel Asesor, Nivel Profesional, Nivel técnico y Nivel Asistencial.</w:t>
      </w:r>
    </w:p>
    <w:p w14:paraId="456735EB" w14:textId="77777777" w:rsidR="00A44A39" w:rsidRDefault="00A44A39">
      <w:pPr>
        <w:jc w:val="both"/>
      </w:pPr>
    </w:p>
    <w:p w14:paraId="238C5A9B" w14:textId="77777777" w:rsidR="00A44A39" w:rsidRDefault="00B66862">
      <w:pPr>
        <w:numPr>
          <w:ilvl w:val="0"/>
          <w:numId w:val="2"/>
        </w:numPr>
        <w:pBdr>
          <w:top w:val="nil"/>
          <w:left w:val="nil"/>
          <w:bottom w:val="nil"/>
          <w:right w:val="nil"/>
          <w:between w:val="nil"/>
        </w:pBdr>
        <w:jc w:val="both"/>
      </w:pPr>
      <w:r>
        <w:rPr>
          <w:rFonts w:eastAsia="Calibri"/>
          <w:color w:val="000000"/>
        </w:rPr>
        <w:t xml:space="preserve">Nivel Directivo: Comprende los empleos a los cuales corresponden funciones de Dirección General, de formulación de políticas institucionales y de adopción de planes, programas y proyectos. </w:t>
      </w:r>
    </w:p>
    <w:p w14:paraId="5A7CA4CE" w14:textId="77777777" w:rsidR="00A44A39" w:rsidRDefault="00B66862">
      <w:pPr>
        <w:numPr>
          <w:ilvl w:val="0"/>
          <w:numId w:val="2"/>
        </w:numPr>
        <w:pBdr>
          <w:top w:val="nil"/>
          <w:left w:val="nil"/>
          <w:bottom w:val="nil"/>
          <w:right w:val="nil"/>
          <w:between w:val="nil"/>
        </w:pBdr>
        <w:jc w:val="both"/>
      </w:pPr>
      <w:r>
        <w:rPr>
          <w:rFonts w:eastAsia="Calibri"/>
          <w:color w:val="000000"/>
        </w:rPr>
        <w:t xml:space="preserve">Nivel Asesor: Agrupa los empleos cuyas funciones consisten en asistir, aconsejar y asesorar directamente a los empleados públicos de la alta dirección territorial. </w:t>
      </w:r>
    </w:p>
    <w:p w14:paraId="7ACB4B06" w14:textId="77777777" w:rsidR="00A44A39" w:rsidRDefault="00B66862">
      <w:pPr>
        <w:numPr>
          <w:ilvl w:val="0"/>
          <w:numId w:val="2"/>
        </w:numPr>
        <w:pBdr>
          <w:top w:val="nil"/>
          <w:left w:val="nil"/>
          <w:bottom w:val="nil"/>
          <w:right w:val="nil"/>
          <w:between w:val="nil"/>
        </w:pBdr>
        <w:jc w:val="both"/>
      </w:pPr>
      <w:r>
        <w:rPr>
          <w:rFonts w:eastAsia="Calibri"/>
          <w:color w:val="000000"/>
        </w:rPr>
        <w:t xml:space="preserve">Nivel Profesional: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 </w:t>
      </w:r>
    </w:p>
    <w:p w14:paraId="640A1D5D" w14:textId="77777777" w:rsidR="00A44A39" w:rsidRDefault="00B66862">
      <w:pPr>
        <w:numPr>
          <w:ilvl w:val="0"/>
          <w:numId w:val="2"/>
        </w:numPr>
        <w:pBdr>
          <w:top w:val="nil"/>
          <w:left w:val="nil"/>
          <w:bottom w:val="nil"/>
          <w:right w:val="nil"/>
          <w:between w:val="nil"/>
        </w:pBdr>
        <w:jc w:val="both"/>
      </w:pPr>
      <w:r>
        <w:rPr>
          <w:rFonts w:eastAsia="Calibri"/>
          <w:color w:val="000000"/>
        </w:rPr>
        <w:t xml:space="preserve">Nivel Técnico: Comprende los empleos cuyas funciones exigen el desarrollo de procesos y procedimientos en labores técnicas misionales y de apoyo, así como las relacionadas con la aplicación de la ciencia y la tecnología. </w:t>
      </w:r>
    </w:p>
    <w:p w14:paraId="7315601C" w14:textId="77777777" w:rsidR="00A44A39" w:rsidRDefault="00B66862">
      <w:pPr>
        <w:numPr>
          <w:ilvl w:val="0"/>
          <w:numId w:val="2"/>
        </w:numPr>
        <w:pBdr>
          <w:top w:val="nil"/>
          <w:left w:val="nil"/>
          <w:bottom w:val="nil"/>
          <w:right w:val="nil"/>
          <w:between w:val="nil"/>
        </w:pBdr>
        <w:jc w:val="both"/>
      </w:pPr>
      <w:r>
        <w:rPr>
          <w:rFonts w:eastAsia="Calibri"/>
          <w:color w:val="000000"/>
        </w:rPr>
        <w:t>Nivel Asistencial: Comprende los empleos cuyas funciones implican el ejercicio de actividades de apoyo y complementarias de las tareas propias de los niveles superiores o de labores que se caracterizan por el predominio de actividades manuales o tareas de simple ejecución.</w:t>
      </w:r>
    </w:p>
    <w:p w14:paraId="1614FE85" w14:textId="77777777" w:rsidR="00A44A39" w:rsidRDefault="00A44A39">
      <w:pPr>
        <w:jc w:val="both"/>
      </w:pPr>
    </w:p>
    <w:p w14:paraId="3E7500F8" w14:textId="77777777" w:rsidR="00A44A39" w:rsidRDefault="00B66862">
      <w:pPr>
        <w:jc w:val="both"/>
        <w:rPr>
          <w:b/>
        </w:rPr>
      </w:pPr>
      <w:r>
        <w:rPr>
          <w:b/>
        </w:rPr>
        <w:lastRenderedPageBreak/>
        <w:t>Vacancia definitiva:</w:t>
      </w:r>
    </w:p>
    <w:p w14:paraId="29B2FCF7" w14:textId="6A057736" w:rsidR="00A44A39" w:rsidRDefault="00B66862">
      <w:pPr>
        <w:jc w:val="both"/>
      </w:pPr>
      <w:r>
        <w:t>Por otro lado, y para mencionar las situaciones bajo las cuales la vacancia se considera definitiva, el artículo 2.2.5.2.1 del Decreto 1083 de 20153 del sector Función Pública establece:</w:t>
      </w:r>
    </w:p>
    <w:p w14:paraId="529F6586" w14:textId="77777777" w:rsidR="00A44A39" w:rsidRDefault="00B66862">
      <w:pPr>
        <w:jc w:val="both"/>
      </w:pPr>
      <w:r>
        <w:t xml:space="preserve">1. Por renuncia regularmente aceptada. </w:t>
      </w:r>
    </w:p>
    <w:p w14:paraId="48069EB2" w14:textId="77777777" w:rsidR="00A44A39" w:rsidRDefault="00B66862">
      <w:pPr>
        <w:jc w:val="both"/>
      </w:pPr>
      <w:r>
        <w:t xml:space="preserve">2. Por declaratoria de insubsistencia del nombramiento en los empleos de libre nombramiento y remoción. </w:t>
      </w:r>
    </w:p>
    <w:p w14:paraId="4102E469" w14:textId="77777777" w:rsidR="00A44A39" w:rsidRDefault="00B66862">
      <w:pPr>
        <w:jc w:val="both"/>
      </w:pPr>
      <w:r>
        <w:t xml:space="preserve">3. Por declaratoria de insubsistencia del nombramiento, como consecuencia del resultado no satisfactorio en la evaluación del desempeño laboral de un empleado de carrera administrativa. </w:t>
      </w:r>
    </w:p>
    <w:p w14:paraId="27017081" w14:textId="77777777" w:rsidR="00A44A39" w:rsidRDefault="00B66862">
      <w:pPr>
        <w:jc w:val="both"/>
      </w:pPr>
      <w:r>
        <w:t xml:space="preserve">4. Por declaratoria de insubsistencia del nombramiento provisional. </w:t>
      </w:r>
    </w:p>
    <w:p w14:paraId="7D45CEF7" w14:textId="77777777" w:rsidR="00A44A39" w:rsidRDefault="00B66862">
      <w:pPr>
        <w:jc w:val="both"/>
      </w:pPr>
      <w:r>
        <w:t xml:space="preserve">5. Por destitución, como consecuencia de proceso disciplinario. </w:t>
      </w:r>
    </w:p>
    <w:p w14:paraId="7A21CC38" w14:textId="77777777" w:rsidR="00A44A39" w:rsidRDefault="00B66862">
      <w:pPr>
        <w:jc w:val="both"/>
      </w:pPr>
      <w:r>
        <w:t>6. Por revocatoria del nombramiento</w:t>
      </w:r>
    </w:p>
    <w:p w14:paraId="7DA46F29" w14:textId="77777777" w:rsidR="00A44A39" w:rsidRDefault="00B66862">
      <w:pPr>
        <w:jc w:val="both"/>
      </w:pPr>
      <w:r>
        <w:t xml:space="preserve">7. Por invalidez absoluta. </w:t>
      </w:r>
    </w:p>
    <w:p w14:paraId="28496A9D" w14:textId="77777777" w:rsidR="00A44A39" w:rsidRDefault="00B66862">
      <w:pPr>
        <w:jc w:val="both"/>
      </w:pPr>
      <w:r>
        <w:t xml:space="preserve">8. Por estar gozando de pensión. </w:t>
      </w:r>
    </w:p>
    <w:p w14:paraId="238BC01C" w14:textId="77777777" w:rsidR="00A44A39" w:rsidRDefault="00B66862">
      <w:pPr>
        <w:jc w:val="both"/>
      </w:pPr>
      <w:r>
        <w:t xml:space="preserve">9. Por edad de retiro forzoso. </w:t>
      </w:r>
    </w:p>
    <w:p w14:paraId="4355B90E" w14:textId="77777777" w:rsidR="00A44A39" w:rsidRDefault="00B66862">
      <w:pPr>
        <w:jc w:val="both"/>
      </w:pPr>
      <w:r>
        <w:t xml:space="preserve">10. Por traslado. </w:t>
      </w:r>
    </w:p>
    <w:p w14:paraId="4AA9217B" w14:textId="77777777" w:rsidR="00A44A39" w:rsidRDefault="00B66862">
      <w:pPr>
        <w:jc w:val="both"/>
      </w:pPr>
      <w:r>
        <w:t xml:space="preserve">11. Por declaratoria de nulidad del nombramiento por decisión judicial o en los casos en que la vacancia se ordene judicialmente. </w:t>
      </w:r>
    </w:p>
    <w:p w14:paraId="55764BE4" w14:textId="77777777" w:rsidR="00A44A39" w:rsidRDefault="00B66862">
      <w:pPr>
        <w:jc w:val="both"/>
      </w:pPr>
      <w:r>
        <w:t xml:space="preserve">12. Por declaratoria de abandono del empleo. </w:t>
      </w:r>
    </w:p>
    <w:p w14:paraId="364A4C5C" w14:textId="77777777" w:rsidR="00A44A39" w:rsidRDefault="00B66862">
      <w:pPr>
        <w:jc w:val="both"/>
      </w:pPr>
      <w:r>
        <w:t xml:space="preserve">13. Por muerte. </w:t>
      </w:r>
    </w:p>
    <w:p w14:paraId="5B6039CA" w14:textId="77777777" w:rsidR="00A44A39" w:rsidRDefault="00B66862">
      <w:pPr>
        <w:jc w:val="both"/>
      </w:pPr>
      <w:r>
        <w:t xml:space="preserve">14. Por terminación del período para el cual fue nombrado. </w:t>
      </w:r>
    </w:p>
    <w:p w14:paraId="1595E875" w14:textId="77777777" w:rsidR="00A44A39" w:rsidRDefault="00B66862">
      <w:pPr>
        <w:jc w:val="both"/>
      </w:pPr>
      <w:r>
        <w:t>15. Las demás que determinen la Constitución Política y las leyes.</w:t>
      </w:r>
    </w:p>
    <w:p w14:paraId="33037D76" w14:textId="77777777" w:rsidR="00A44A39" w:rsidRDefault="00A44A39">
      <w:pPr>
        <w:jc w:val="both"/>
      </w:pPr>
    </w:p>
    <w:p w14:paraId="27F0F11C" w14:textId="77777777" w:rsidR="00A44A39" w:rsidRDefault="00B66862">
      <w:pPr>
        <w:jc w:val="both"/>
        <w:rPr>
          <w:b/>
        </w:rPr>
      </w:pPr>
      <w:r>
        <w:rPr>
          <w:b/>
        </w:rPr>
        <w:t xml:space="preserve">Vacancia temporal </w:t>
      </w:r>
    </w:p>
    <w:p w14:paraId="615E7F75" w14:textId="77777777" w:rsidR="00A44A39" w:rsidRDefault="00B66862">
      <w:pPr>
        <w:jc w:val="both"/>
      </w:pPr>
      <w:r>
        <w:t xml:space="preserve">Así mismo, el artículo 2.2.5.2.2, del mencionado decreto establece los eventos en los cuales se considera que un empleo se encuentra en vacancia temporal, cuando su titular se encuentre en las siguientes situaciones: </w:t>
      </w:r>
    </w:p>
    <w:p w14:paraId="014CA5DE" w14:textId="77777777" w:rsidR="00A44A39" w:rsidRDefault="00B66862">
      <w:pPr>
        <w:jc w:val="both"/>
      </w:pPr>
      <w:r>
        <w:t xml:space="preserve">1. Vacaciones. </w:t>
      </w:r>
    </w:p>
    <w:p w14:paraId="7483DA83" w14:textId="77777777" w:rsidR="00A44A39" w:rsidRDefault="00B66862">
      <w:pPr>
        <w:jc w:val="both"/>
      </w:pPr>
      <w:r>
        <w:t xml:space="preserve">2. Licencia. </w:t>
      </w:r>
    </w:p>
    <w:p w14:paraId="0162BB85" w14:textId="77777777" w:rsidR="00A44A39" w:rsidRDefault="00B66862">
      <w:pPr>
        <w:jc w:val="both"/>
      </w:pPr>
      <w:r>
        <w:t xml:space="preserve">3. Comisión, salvo en la de servicios al interior. </w:t>
      </w:r>
    </w:p>
    <w:p w14:paraId="43C099EF" w14:textId="77777777" w:rsidR="00A44A39" w:rsidRDefault="00B66862">
      <w:pPr>
        <w:jc w:val="both"/>
      </w:pPr>
      <w:r>
        <w:t xml:space="preserve">4. Prestando el servicio militar. </w:t>
      </w:r>
    </w:p>
    <w:p w14:paraId="4EDE3DA4" w14:textId="77777777" w:rsidR="00A44A39" w:rsidRDefault="00B66862">
      <w:pPr>
        <w:jc w:val="both"/>
      </w:pPr>
      <w:r>
        <w:t xml:space="preserve">5. Encargado, separándose de las funciones del empleo del cual es titular. </w:t>
      </w:r>
    </w:p>
    <w:p w14:paraId="3EEF9D63" w14:textId="77777777" w:rsidR="00A44A39" w:rsidRDefault="00B66862">
      <w:pPr>
        <w:jc w:val="both"/>
      </w:pPr>
      <w:r>
        <w:t xml:space="preserve">6. Suspendido en el ejercicio del cargo por decisión disciplinaria, fiscal o judicial. </w:t>
      </w:r>
    </w:p>
    <w:p w14:paraId="0975AC85" w14:textId="77777777" w:rsidR="00A44A39" w:rsidRDefault="00B66862">
      <w:pPr>
        <w:jc w:val="both"/>
      </w:pPr>
      <w:r>
        <w:t>7. Período de prueba en otro empleo de carrera.</w:t>
      </w:r>
    </w:p>
    <w:p w14:paraId="02681DB9" w14:textId="77777777" w:rsidR="00A44A39" w:rsidRDefault="00A44A39">
      <w:pPr>
        <w:jc w:val="both"/>
      </w:pPr>
    </w:p>
    <w:p w14:paraId="6F48E68B" w14:textId="77777777" w:rsidR="00A44A39" w:rsidRDefault="00B66862">
      <w:pPr>
        <w:numPr>
          <w:ilvl w:val="0"/>
          <w:numId w:val="1"/>
        </w:numPr>
        <w:pBdr>
          <w:top w:val="nil"/>
          <w:left w:val="nil"/>
          <w:bottom w:val="nil"/>
          <w:right w:val="nil"/>
          <w:between w:val="nil"/>
        </w:pBdr>
        <w:jc w:val="both"/>
        <w:rPr>
          <w:rFonts w:eastAsia="Calibri"/>
          <w:b/>
          <w:color w:val="000000"/>
        </w:rPr>
      </w:pPr>
      <w:r>
        <w:rPr>
          <w:rFonts w:eastAsia="Calibri"/>
          <w:b/>
          <w:color w:val="000000"/>
        </w:rPr>
        <w:t>Metodología</w:t>
      </w:r>
    </w:p>
    <w:p w14:paraId="5AC1665F" w14:textId="77777777" w:rsidR="00A44A39" w:rsidRDefault="00A44A39">
      <w:pPr>
        <w:jc w:val="both"/>
        <w:rPr>
          <w:rFonts w:ascii="Arial" w:eastAsia="Arial" w:hAnsi="Arial" w:cs="Arial"/>
          <w:color w:val="222222"/>
        </w:rPr>
      </w:pPr>
    </w:p>
    <w:p w14:paraId="48812F71" w14:textId="77777777" w:rsidR="00A44A39" w:rsidRDefault="00B66862">
      <w:pPr>
        <w:jc w:val="both"/>
      </w:pPr>
      <w:r>
        <w:t xml:space="preserve">El Plan Anual de Vacantes, se desarrollará teniendo en cuenta los lineamientos expedidos por el Departamento Administrativo de la Función Pública DAFP y/o por la autoridad que sea competente. El proceso de Talento Humano, proyectará cada año, los cargos vacantes y actualizará de ser posible el plan cada vez que ocurra una vacancia definitiva de los </w:t>
      </w:r>
      <w:r>
        <w:lastRenderedPageBreak/>
        <w:t>empleos, por cualquier motivo que pueda generarse, de conformidad con lo estipulado en la Ley 909 de 2004.</w:t>
      </w:r>
    </w:p>
    <w:p w14:paraId="1F05CF3B" w14:textId="77777777" w:rsidR="00A44A39" w:rsidRDefault="00A44A39">
      <w:pPr>
        <w:jc w:val="both"/>
      </w:pPr>
    </w:p>
    <w:tbl>
      <w:tblPr>
        <w:tblStyle w:val="a"/>
        <w:tblW w:w="89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967"/>
        <w:gridCol w:w="1134"/>
        <w:gridCol w:w="2551"/>
        <w:gridCol w:w="851"/>
        <w:gridCol w:w="842"/>
        <w:gridCol w:w="1455"/>
      </w:tblGrid>
      <w:tr w:rsidR="00A44A39" w14:paraId="5B32BAFB" w14:textId="77777777" w:rsidTr="00B32E30">
        <w:trPr>
          <w:trHeight w:val="285"/>
        </w:trPr>
        <w:tc>
          <w:tcPr>
            <w:tcW w:w="1155" w:type="dxa"/>
            <w:vAlign w:val="center"/>
          </w:tcPr>
          <w:p w14:paraId="3CEBC15B" w14:textId="77777777" w:rsidR="00A44A39" w:rsidRPr="00B32E30" w:rsidRDefault="00B66862">
            <w:pPr>
              <w:jc w:val="center"/>
              <w:rPr>
                <w:rFonts w:ascii="Arial" w:eastAsia="Arial" w:hAnsi="Arial" w:cs="Arial"/>
                <w:b/>
                <w:color w:val="000000"/>
              </w:rPr>
            </w:pPr>
            <w:r w:rsidRPr="00B32E30">
              <w:rPr>
                <w:rFonts w:ascii="Arial" w:eastAsia="Arial" w:hAnsi="Arial" w:cs="Arial"/>
                <w:b/>
                <w:color w:val="000000"/>
              </w:rPr>
              <w:t>Acción</w:t>
            </w:r>
          </w:p>
        </w:tc>
        <w:tc>
          <w:tcPr>
            <w:tcW w:w="967" w:type="dxa"/>
            <w:vAlign w:val="center"/>
          </w:tcPr>
          <w:p w14:paraId="3B659F5E" w14:textId="77777777" w:rsidR="00A44A39" w:rsidRPr="00B32E30" w:rsidRDefault="00B66862">
            <w:pPr>
              <w:jc w:val="center"/>
              <w:rPr>
                <w:rFonts w:ascii="Arial" w:eastAsia="Arial" w:hAnsi="Arial" w:cs="Arial"/>
                <w:b/>
                <w:color w:val="000000"/>
              </w:rPr>
            </w:pPr>
            <w:r w:rsidRPr="00B32E30">
              <w:rPr>
                <w:rFonts w:ascii="Arial" w:eastAsia="Arial" w:hAnsi="Arial" w:cs="Arial"/>
                <w:b/>
                <w:color w:val="000000"/>
              </w:rPr>
              <w:t>Meta</w:t>
            </w:r>
          </w:p>
        </w:tc>
        <w:tc>
          <w:tcPr>
            <w:tcW w:w="1134" w:type="dxa"/>
            <w:vAlign w:val="center"/>
          </w:tcPr>
          <w:p w14:paraId="449FB4C9" w14:textId="77777777" w:rsidR="00A44A39" w:rsidRPr="00B32E30" w:rsidRDefault="00B66862">
            <w:pPr>
              <w:jc w:val="center"/>
              <w:rPr>
                <w:rFonts w:ascii="Arial" w:eastAsia="Arial" w:hAnsi="Arial" w:cs="Arial"/>
                <w:b/>
                <w:color w:val="000000"/>
              </w:rPr>
            </w:pPr>
            <w:r w:rsidRPr="00B32E30">
              <w:rPr>
                <w:rFonts w:ascii="Arial" w:eastAsia="Arial" w:hAnsi="Arial" w:cs="Arial"/>
                <w:b/>
              </w:rPr>
              <w:t>Recursos</w:t>
            </w:r>
          </w:p>
        </w:tc>
        <w:tc>
          <w:tcPr>
            <w:tcW w:w="2551" w:type="dxa"/>
            <w:vAlign w:val="center"/>
          </w:tcPr>
          <w:p w14:paraId="3DE7627B" w14:textId="77777777" w:rsidR="00A44A39" w:rsidRPr="00B32E30" w:rsidRDefault="00B66862">
            <w:pPr>
              <w:jc w:val="center"/>
              <w:rPr>
                <w:rFonts w:ascii="Arial" w:eastAsia="Arial" w:hAnsi="Arial" w:cs="Arial"/>
                <w:b/>
                <w:color w:val="000000"/>
              </w:rPr>
            </w:pPr>
            <w:r w:rsidRPr="00B32E30">
              <w:rPr>
                <w:rFonts w:ascii="Arial" w:eastAsia="Arial" w:hAnsi="Arial" w:cs="Arial"/>
                <w:b/>
                <w:color w:val="000000"/>
              </w:rPr>
              <w:t>Indicador de gestión</w:t>
            </w:r>
          </w:p>
        </w:tc>
        <w:tc>
          <w:tcPr>
            <w:tcW w:w="851" w:type="dxa"/>
            <w:vAlign w:val="center"/>
          </w:tcPr>
          <w:p w14:paraId="70B9CBE4" w14:textId="77777777" w:rsidR="00A44A39" w:rsidRPr="00B32E30" w:rsidRDefault="00B66862">
            <w:pPr>
              <w:jc w:val="center"/>
              <w:rPr>
                <w:rFonts w:ascii="Arial" w:eastAsia="Arial" w:hAnsi="Arial" w:cs="Arial"/>
                <w:b/>
                <w:color w:val="000000"/>
              </w:rPr>
            </w:pPr>
            <w:r w:rsidRPr="00B32E30">
              <w:rPr>
                <w:rFonts w:ascii="Arial" w:eastAsia="Arial" w:hAnsi="Arial" w:cs="Arial"/>
                <w:b/>
                <w:color w:val="000000"/>
              </w:rPr>
              <w:t>Fecha Inicio</w:t>
            </w:r>
          </w:p>
        </w:tc>
        <w:tc>
          <w:tcPr>
            <w:tcW w:w="842" w:type="dxa"/>
            <w:vAlign w:val="center"/>
          </w:tcPr>
          <w:p w14:paraId="22CFE769" w14:textId="77777777" w:rsidR="00A44A39" w:rsidRPr="00B32E30" w:rsidRDefault="00B66862">
            <w:pPr>
              <w:jc w:val="center"/>
              <w:rPr>
                <w:rFonts w:ascii="Arial" w:eastAsia="Arial" w:hAnsi="Arial" w:cs="Arial"/>
                <w:b/>
                <w:color w:val="000000"/>
              </w:rPr>
            </w:pPr>
            <w:r w:rsidRPr="00B32E30">
              <w:rPr>
                <w:rFonts w:ascii="Arial" w:eastAsia="Arial" w:hAnsi="Arial" w:cs="Arial"/>
                <w:b/>
                <w:color w:val="000000"/>
              </w:rPr>
              <w:t>Fecha Fin</w:t>
            </w:r>
          </w:p>
        </w:tc>
        <w:tc>
          <w:tcPr>
            <w:tcW w:w="1455" w:type="dxa"/>
            <w:vAlign w:val="center"/>
          </w:tcPr>
          <w:p w14:paraId="1CED6B1B" w14:textId="77777777" w:rsidR="00A44A39" w:rsidRPr="00B32E30" w:rsidRDefault="00B66862">
            <w:pPr>
              <w:jc w:val="center"/>
              <w:rPr>
                <w:rFonts w:ascii="Arial" w:eastAsia="Arial" w:hAnsi="Arial" w:cs="Arial"/>
                <w:b/>
                <w:color w:val="000000"/>
              </w:rPr>
            </w:pPr>
            <w:r w:rsidRPr="00B32E30">
              <w:rPr>
                <w:rFonts w:ascii="Arial" w:eastAsia="Arial" w:hAnsi="Arial" w:cs="Arial"/>
                <w:b/>
                <w:sz w:val="18"/>
                <w:szCs w:val="18"/>
              </w:rPr>
              <w:t>Responsable</w:t>
            </w:r>
          </w:p>
        </w:tc>
      </w:tr>
      <w:tr w:rsidR="00A44A39" w14:paraId="3BCC8F24" w14:textId="77777777" w:rsidTr="00B32E30">
        <w:trPr>
          <w:cantSplit/>
          <w:trHeight w:val="1228"/>
        </w:trPr>
        <w:tc>
          <w:tcPr>
            <w:tcW w:w="1155" w:type="dxa"/>
          </w:tcPr>
          <w:p w14:paraId="443C16A9" w14:textId="77777777" w:rsidR="00A44A39" w:rsidRDefault="00B66862">
            <w:pPr>
              <w:rPr>
                <w:rFonts w:ascii="Calibri" w:eastAsia="Calibri" w:hAnsi="Calibri" w:cs="Calibri"/>
                <w:color w:val="000000"/>
                <w:sz w:val="18"/>
                <w:szCs w:val="18"/>
              </w:rPr>
            </w:pPr>
            <w:r>
              <w:rPr>
                <w:rFonts w:ascii="Calibri" w:eastAsia="Calibri" w:hAnsi="Calibri" w:cs="Calibri"/>
                <w:color w:val="000000"/>
                <w:sz w:val="18"/>
                <w:szCs w:val="18"/>
              </w:rPr>
              <w:t>Identificar los cargos vacantes en la planta de personal</w:t>
            </w:r>
          </w:p>
        </w:tc>
        <w:tc>
          <w:tcPr>
            <w:tcW w:w="967" w:type="dxa"/>
          </w:tcPr>
          <w:p w14:paraId="503E2550" w14:textId="77777777" w:rsidR="00A44A39" w:rsidRDefault="00B66862">
            <w:pPr>
              <w:rPr>
                <w:rFonts w:ascii="Calibri" w:eastAsia="Calibri" w:hAnsi="Calibri" w:cs="Calibri"/>
                <w:color w:val="000000"/>
                <w:sz w:val="18"/>
                <w:szCs w:val="18"/>
              </w:rPr>
            </w:pPr>
            <w:r>
              <w:rPr>
                <w:rFonts w:ascii="Calibri" w:eastAsia="Calibri" w:hAnsi="Calibri" w:cs="Calibri"/>
                <w:color w:val="000000"/>
                <w:sz w:val="18"/>
                <w:szCs w:val="18"/>
              </w:rPr>
              <w:t>Identificar el 100% de los cargos vacantes</w:t>
            </w:r>
          </w:p>
        </w:tc>
        <w:tc>
          <w:tcPr>
            <w:tcW w:w="1134" w:type="dxa"/>
          </w:tcPr>
          <w:p w14:paraId="7B2A58AF" w14:textId="77777777" w:rsidR="00A44A39" w:rsidRDefault="00B66862" w:rsidP="00B32E30">
            <w:pPr>
              <w:jc w:val="center"/>
              <w:rPr>
                <w:rFonts w:ascii="Calibri" w:eastAsia="Calibri" w:hAnsi="Calibri" w:cs="Calibri"/>
                <w:color w:val="000000"/>
                <w:sz w:val="18"/>
                <w:szCs w:val="18"/>
              </w:rPr>
            </w:pPr>
            <w:r>
              <w:rPr>
                <w:rFonts w:ascii="Calibri" w:eastAsia="Calibri" w:hAnsi="Calibri" w:cs="Calibri"/>
                <w:sz w:val="18"/>
                <w:szCs w:val="18"/>
              </w:rPr>
              <w:t>0</w:t>
            </w:r>
          </w:p>
        </w:tc>
        <w:tc>
          <w:tcPr>
            <w:tcW w:w="2551" w:type="dxa"/>
          </w:tcPr>
          <w:p w14:paraId="22991D9F" w14:textId="77777777" w:rsidR="00A44A39" w:rsidRDefault="00A44A39">
            <w:pPr>
              <w:rPr>
                <w:rFonts w:ascii="Calibri" w:eastAsia="Calibri" w:hAnsi="Calibri" w:cs="Calibri"/>
                <w:color w:val="000000"/>
                <w:sz w:val="18"/>
                <w:szCs w:val="18"/>
              </w:rPr>
            </w:pPr>
          </w:p>
          <w:p w14:paraId="671233E7" w14:textId="77777777" w:rsidR="00A44A39" w:rsidRDefault="00D63766">
            <w:pPr>
              <w:jc w:val="center"/>
              <w:rPr>
                <w:rFonts w:ascii="Cambria Math" w:eastAsia="Cambria Math" w:hAnsi="Cambria Math" w:cs="Cambria Math"/>
                <w:color w:val="000000"/>
              </w:rPr>
            </w:pPr>
            <m:oMathPara>
              <m:oMath>
                <m:f>
                  <m:fPr>
                    <m:ctrlPr>
                      <w:rPr>
                        <w:rFonts w:ascii="Cambria Math" w:eastAsia="Cambria Math" w:hAnsi="Cambria Math" w:cs="Cambria Math"/>
                        <w:color w:val="000000"/>
                        <w:sz w:val="16"/>
                        <w:szCs w:val="16"/>
                      </w:rPr>
                    </m:ctrlPr>
                  </m:fPr>
                  <m:num>
                    <m:r>
                      <w:rPr>
                        <w:rFonts w:ascii="Cambria Math" w:eastAsia="Cambria Math" w:hAnsi="Cambria Math" w:cs="Cambria Math"/>
                        <w:color w:val="000000"/>
                        <w:sz w:val="16"/>
                        <w:szCs w:val="16"/>
                      </w:rPr>
                      <m:t>No.  de cargos revisados</m:t>
                    </m:r>
                  </m:num>
                  <m:den>
                    <m:r>
                      <w:rPr>
                        <w:rFonts w:ascii="Cambria Math" w:eastAsia="Cambria Math" w:hAnsi="Cambria Math" w:cs="Cambria Math"/>
                        <w:color w:val="000000"/>
                        <w:sz w:val="16"/>
                        <w:szCs w:val="16"/>
                      </w:rPr>
                      <m:t>No. total de cargos</m:t>
                    </m:r>
                  </m:den>
                </m:f>
                <m:r>
                  <w:rPr>
                    <w:rFonts w:ascii="Cambria Math" w:eastAsia="Cambria Math" w:hAnsi="Cambria Math" w:cs="Cambria Math"/>
                    <w:color w:val="000000"/>
                    <w:sz w:val="16"/>
                    <w:szCs w:val="16"/>
                  </w:rPr>
                  <m:t>×100</m:t>
                </m:r>
              </m:oMath>
            </m:oMathPara>
          </w:p>
        </w:tc>
        <w:tc>
          <w:tcPr>
            <w:tcW w:w="851" w:type="dxa"/>
            <w:textDirection w:val="btLr"/>
            <w:vAlign w:val="center"/>
          </w:tcPr>
          <w:p w14:paraId="405E0846" w14:textId="77777777" w:rsidR="00A44A39" w:rsidRDefault="00B66862" w:rsidP="00B32E30">
            <w:pPr>
              <w:ind w:left="113" w:right="113"/>
              <w:jc w:val="center"/>
              <w:rPr>
                <w:rFonts w:ascii="Calibri" w:eastAsia="Calibri" w:hAnsi="Calibri" w:cs="Calibri"/>
                <w:color w:val="000000"/>
              </w:rPr>
            </w:pPr>
            <w:r>
              <w:rPr>
                <w:rFonts w:ascii="Calibri" w:eastAsia="Calibri" w:hAnsi="Calibri" w:cs="Calibri"/>
                <w:color w:val="000000"/>
                <w:sz w:val="18"/>
                <w:szCs w:val="18"/>
              </w:rPr>
              <w:t>2/01/2021</w:t>
            </w:r>
          </w:p>
        </w:tc>
        <w:tc>
          <w:tcPr>
            <w:tcW w:w="842" w:type="dxa"/>
            <w:textDirection w:val="btLr"/>
            <w:vAlign w:val="center"/>
          </w:tcPr>
          <w:p w14:paraId="727039B9" w14:textId="77777777" w:rsidR="00A44A39" w:rsidRDefault="00B66862" w:rsidP="00B32E30">
            <w:pPr>
              <w:ind w:left="113" w:right="113"/>
              <w:jc w:val="center"/>
              <w:rPr>
                <w:rFonts w:ascii="Calibri" w:eastAsia="Calibri" w:hAnsi="Calibri" w:cs="Calibri"/>
                <w:color w:val="000000"/>
              </w:rPr>
            </w:pPr>
            <w:r>
              <w:rPr>
                <w:rFonts w:ascii="Calibri" w:eastAsia="Calibri" w:hAnsi="Calibri" w:cs="Calibri"/>
                <w:color w:val="000000"/>
                <w:sz w:val="18"/>
                <w:szCs w:val="18"/>
              </w:rPr>
              <w:t>31/</w:t>
            </w:r>
            <w:r>
              <w:rPr>
                <w:rFonts w:ascii="Calibri" w:eastAsia="Calibri" w:hAnsi="Calibri" w:cs="Calibri"/>
                <w:sz w:val="18"/>
                <w:szCs w:val="18"/>
              </w:rPr>
              <w:t>12</w:t>
            </w:r>
            <w:r>
              <w:rPr>
                <w:rFonts w:ascii="Calibri" w:eastAsia="Calibri" w:hAnsi="Calibri" w:cs="Calibri"/>
                <w:color w:val="000000"/>
                <w:sz w:val="18"/>
                <w:szCs w:val="18"/>
              </w:rPr>
              <w:t>/2021</w:t>
            </w:r>
          </w:p>
        </w:tc>
        <w:tc>
          <w:tcPr>
            <w:tcW w:w="1455" w:type="dxa"/>
          </w:tcPr>
          <w:p w14:paraId="5663554F" w14:textId="77777777" w:rsidR="00A44A39" w:rsidRDefault="00B66862" w:rsidP="00B32E30">
            <w:pPr>
              <w:jc w:val="center"/>
              <w:rPr>
                <w:rFonts w:ascii="Calibri" w:eastAsia="Calibri" w:hAnsi="Calibri" w:cs="Calibri"/>
                <w:color w:val="000000"/>
                <w:sz w:val="18"/>
                <w:szCs w:val="18"/>
              </w:rPr>
            </w:pPr>
            <w:r>
              <w:rPr>
                <w:rFonts w:ascii="Calibri" w:eastAsia="Calibri" w:hAnsi="Calibri" w:cs="Calibri"/>
                <w:sz w:val="18"/>
                <w:szCs w:val="18"/>
              </w:rPr>
              <w:t>Directora administrativa y financiera</w:t>
            </w:r>
          </w:p>
        </w:tc>
      </w:tr>
    </w:tbl>
    <w:p w14:paraId="319C30F2" w14:textId="77777777" w:rsidR="00A44A39" w:rsidRDefault="00A44A39">
      <w:pPr>
        <w:jc w:val="both"/>
      </w:pPr>
      <w:bookmarkStart w:id="0" w:name="_heading=h.gjdgxs" w:colFirst="0" w:colLast="0"/>
      <w:bookmarkEnd w:id="0"/>
    </w:p>
    <w:p w14:paraId="500E77B9" w14:textId="77777777" w:rsidR="00A44A39" w:rsidRDefault="00B66862">
      <w:pPr>
        <w:pStyle w:val="Ttulo2"/>
        <w:spacing w:before="0"/>
        <w:rPr>
          <w:rFonts w:ascii="Calibri" w:eastAsia="Calibri" w:hAnsi="Calibri" w:cs="Calibri"/>
          <w:b/>
          <w:color w:val="000000"/>
          <w:sz w:val="24"/>
          <w:szCs w:val="24"/>
        </w:rPr>
      </w:pPr>
      <w:bookmarkStart w:id="1" w:name="_heading=h.30j0zll" w:colFirst="0" w:colLast="0"/>
      <w:bookmarkEnd w:id="1"/>
      <w:r>
        <w:rPr>
          <w:rFonts w:ascii="Calibri" w:eastAsia="Calibri" w:hAnsi="Calibri" w:cs="Calibri"/>
          <w:b/>
          <w:color w:val="000000"/>
          <w:sz w:val="24"/>
          <w:szCs w:val="24"/>
        </w:rPr>
        <w:t>Análisis de Planta Actual</w:t>
      </w:r>
    </w:p>
    <w:p w14:paraId="5613DCCE" w14:textId="77777777" w:rsidR="00A44A39" w:rsidRDefault="00A44A39"/>
    <w:p w14:paraId="530ABA8E" w14:textId="121001A3" w:rsidR="00A44A39" w:rsidRDefault="00B66862">
      <w:pPr>
        <w:jc w:val="both"/>
      </w:pPr>
      <w:r>
        <w:t xml:space="preserve">La planta de personal aprobada para </w:t>
      </w:r>
      <w:proofErr w:type="spellStart"/>
      <w:r>
        <w:t>Incolballet</w:t>
      </w:r>
      <w:proofErr w:type="spellEnd"/>
      <w:r>
        <w:t xml:space="preserve"> está conformada por un total de </w:t>
      </w:r>
      <w:r w:rsidR="00B32E30">
        <w:t>treinta y un</w:t>
      </w:r>
      <w:r>
        <w:t xml:space="preserve"> (3</w:t>
      </w:r>
      <w:r w:rsidR="00B32E30">
        <w:t>1</w:t>
      </w:r>
      <w:r>
        <w:t>) cargos, distribuidos de la siguiente forma, según clasificación por tipo de vinculación y nivel jerárquico</w:t>
      </w:r>
    </w:p>
    <w:p w14:paraId="5DA3ACC1" w14:textId="1E539B8C" w:rsidR="00A44A39" w:rsidRDefault="00A44A39"/>
    <w:p w14:paraId="08830821" w14:textId="25DB8B4B" w:rsidR="00B32E30" w:rsidRDefault="00B32E30"/>
    <w:p w14:paraId="727B83A6" w14:textId="07767B7B" w:rsidR="00B32E30" w:rsidRDefault="00B32E30"/>
    <w:p w14:paraId="676BE10B" w14:textId="30A54827" w:rsidR="00B32E30" w:rsidRDefault="00B32E30"/>
    <w:p w14:paraId="4FCDBBE3" w14:textId="77777777" w:rsidR="00B32E30" w:rsidRDefault="00B32E30"/>
    <w:tbl>
      <w:tblPr>
        <w:tblStyle w:val="a0"/>
        <w:tblW w:w="8520" w:type="dxa"/>
        <w:tblInd w:w="65" w:type="dxa"/>
        <w:tblLayout w:type="fixed"/>
        <w:tblLook w:val="0400" w:firstRow="0" w:lastRow="0" w:firstColumn="0" w:lastColumn="0" w:noHBand="0" w:noVBand="1"/>
      </w:tblPr>
      <w:tblGrid>
        <w:gridCol w:w="1199"/>
        <w:gridCol w:w="3400"/>
        <w:gridCol w:w="474"/>
        <w:gridCol w:w="383"/>
        <w:gridCol w:w="383"/>
        <w:gridCol w:w="383"/>
        <w:gridCol w:w="383"/>
        <w:gridCol w:w="383"/>
        <w:gridCol w:w="383"/>
        <w:gridCol w:w="383"/>
        <w:gridCol w:w="383"/>
        <w:gridCol w:w="383"/>
      </w:tblGrid>
      <w:tr w:rsidR="00A44A39" w14:paraId="7E5FC5D8" w14:textId="77777777">
        <w:trPr>
          <w:trHeight w:val="315"/>
        </w:trPr>
        <w:tc>
          <w:tcPr>
            <w:tcW w:w="58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B2759C7" w14:textId="77777777" w:rsidR="00A44A39" w:rsidRDefault="00B66862">
            <w:pPr>
              <w:jc w:val="center"/>
              <w:rPr>
                <w:rFonts w:ascii="Arial" w:eastAsia="Arial" w:hAnsi="Arial" w:cs="Arial"/>
                <w:b/>
                <w:color w:val="000000"/>
              </w:rPr>
            </w:pPr>
            <w:r>
              <w:rPr>
                <w:rFonts w:ascii="Arial" w:eastAsia="Arial" w:hAnsi="Arial" w:cs="Arial"/>
                <w:b/>
                <w:color w:val="000000"/>
              </w:rPr>
              <w:t>Planta Actual</w:t>
            </w:r>
          </w:p>
        </w:tc>
        <w:tc>
          <w:tcPr>
            <w:tcW w:w="1149" w:type="dxa"/>
            <w:gridSpan w:val="3"/>
            <w:tcBorders>
              <w:top w:val="single" w:sz="4" w:space="0" w:color="000000"/>
              <w:left w:val="nil"/>
              <w:bottom w:val="single" w:sz="4" w:space="0" w:color="000000"/>
              <w:right w:val="single" w:sz="4" w:space="0" w:color="000000"/>
            </w:tcBorders>
            <w:shd w:val="clear" w:color="auto" w:fill="D9D9D9"/>
            <w:vAlign w:val="center"/>
          </w:tcPr>
          <w:p w14:paraId="5FAC162F" w14:textId="77777777" w:rsidR="00A44A39" w:rsidRDefault="00B66862">
            <w:pPr>
              <w:jc w:val="center"/>
              <w:rPr>
                <w:rFonts w:ascii="Arial" w:eastAsia="Arial" w:hAnsi="Arial" w:cs="Arial"/>
                <w:b/>
                <w:color w:val="000000"/>
              </w:rPr>
            </w:pPr>
            <w:r>
              <w:rPr>
                <w:rFonts w:ascii="Arial" w:eastAsia="Arial" w:hAnsi="Arial" w:cs="Arial"/>
                <w:b/>
                <w:color w:val="000000"/>
              </w:rPr>
              <w:t>Proceso</w:t>
            </w:r>
          </w:p>
        </w:tc>
        <w:tc>
          <w:tcPr>
            <w:tcW w:w="1532" w:type="dxa"/>
            <w:gridSpan w:val="4"/>
            <w:tcBorders>
              <w:top w:val="single" w:sz="4" w:space="0" w:color="000000"/>
              <w:left w:val="nil"/>
              <w:bottom w:val="single" w:sz="4" w:space="0" w:color="000000"/>
              <w:right w:val="single" w:sz="4" w:space="0" w:color="000000"/>
            </w:tcBorders>
            <w:shd w:val="clear" w:color="auto" w:fill="D9D9D9"/>
            <w:vAlign w:val="center"/>
          </w:tcPr>
          <w:p w14:paraId="67DC02AE" w14:textId="77777777" w:rsidR="00A44A39" w:rsidRDefault="00B66862">
            <w:pPr>
              <w:jc w:val="center"/>
              <w:rPr>
                <w:rFonts w:ascii="Arial" w:eastAsia="Arial" w:hAnsi="Arial" w:cs="Arial"/>
                <w:b/>
                <w:color w:val="000000"/>
              </w:rPr>
            </w:pPr>
            <w:r>
              <w:rPr>
                <w:rFonts w:ascii="Arial" w:eastAsia="Arial" w:hAnsi="Arial" w:cs="Arial"/>
                <w:b/>
                <w:color w:val="000000"/>
              </w:rPr>
              <w:t>Naturaleza del empleo</w:t>
            </w:r>
          </w:p>
        </w:tc>
      </w:tr>
      <w:tr w:rsidR="00A44A39" w14:paraId="18FD0272" w14:textId="77777777">
        <w:trPr>
          <w:trHeight w:val="1395"/>
        </w:trPr>
        <w:tc>
          <w:tcPr>
            <w:tcW w:w="1200" w:type="dxa"/>
            <w:tcBorders>
              <w:top w:val="nil"/>
              <w:left w:val="single" w:sz="4" w:space="0" w:color="000000"/>
              <w:bottom w:val="single" w:sz="4" w:space="0" w:color="000000"/>
              <w:right w:val="single" w:sz="4" w:space="0" w:color="000000"/>
            </w:tcBorders>
            <w:shd w:val="clear" w:color="auto" w:fill="D9E2F3"/>
            <w:vAlign w:val="center"/>
          </w:tcPr>
          <w:p w14:paraId="3B35DA3E"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Nivel</w:t>
            </w:r>
          </w:p>
        </w:tc>
        <w:tc>
          <w:tcPr>
            <w:tcW w:w="3400" w:type="dxa"/>
            <w:tcBorders>
              <w:top w:val="nil"/>
              <w:left w:val="nil"/>
              <w:bottom w:val="single" w:sz="4" w:space="0" w:color="000000"/>
              <w:right w:val="single" w:sz="4" w:space="0" w:color="000000"/>
            </w:tcBorders>
            <w:shd w:val="clear" w:color="auto" w:fill="D9E2F3"/>
            <w:vAlign w:val="center"/>
          </w:tcPr>
          <w:p w14:paraId="1C025039"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Denominación</w:t>
            </w:r>
          </w:p>
        </w:tc>
        <w:tc>
          <w:tcPr>
            <w:tcW w:w="474" w:type="dxa"/>
            <w:tcBorders>
              <w:top w:val="nil"/>
              <w:left w:val="nil"/>
              <w:bottom w:val="single" w:sz="4" w:space="0" w:color="000000"/>
              <w:right w:val="single" w:sz="4" w:space="0" w:color="000000"/>
            </w:tcBorders>
            <w:shd w:val="clear" w:color="auto" w:fill="D9E2F3"/>
            <w:vAlign w:val="center"/>
          </w:tcPr>
          <w:p w14:paraId="1FCC4A10"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Código</w:t>
            </w:r>
          </w:p>
        </w:tc>
        <w:tc>
          <w:tcPr>
            <w:tcW w:w="383" w:type="dxa"/>
            <w:tcBorders>
              <w:top w:val="nil"/>
              <w:left w:val="nil"/>
              <w:bottom w:val="single" w:sz="4" w:space="0" w:color="000000"/>
              <w:right w:val="single" w:sz="4" w:space="0" w:color="000000"/>
            </w:tcBorders>
            <w:shd w:val="clear" w:color="auto" w:fill="D9E2F3"/>
            <w:vAlign w:val="center"/>
          </w:tcPr>
          <w:p w14:paraId="7B4219DB"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Grado</w:t>
            </w:r>
          </w:p>
        </w:tc>
        <w:tc>
          <w:tcPr>
            <w:tcW w:w="383" w:type="dxa"/>
            <w:tcBorders>
              <w:top w:val="nil"/>
              <w:left w:val="nil"/>
              <w:bottom w:val="single" w:sz="4" w:space="0" w:color="000000"/>
              <w:right w:val="single" w:sz="4" w:space="0" w:color="000000"/>
            </w:tcBorders>
            <w:shd w:val="clear" w:color="auto" w:fill="D9E2F3"/>
            <w:vAlign w:val="center"/>
          </w:tcPr>
          <w:p w14:paraId="31E6E2CA"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No. Cargos</w:t>
            </w:r>
          </w:p>
        </w:tc>
        <w:tc>
          <w:tcPr>
            <w:tcW w:w="383" w:type="dxa"/>
            <w:tcBorders>
              <w:top w:val="nil"/>
              <w:left w:val="nil"/>
              <w:bottom w:val="single" w:sz="4" w:space="0" w:color="000000"/>
              <w:right w:val="single" w:sz="4" w:space="0" w:color="000000"/>
            </w:tcBorders>
            <w:shd w:val="clear" w:color="auto" w:fill="D9E2F3"/>
            <w:vAlign w:val="center"/>
          </w:tcPr>
          <w:p w14:paraId="01973F85"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Estratégico</w:t>
            </w:r>
          </w:p>
        </w:tc>
        <w:tc>
          <w:tcPr>
            <w:tcW w:w="383" w:type="dxa"/>
            <w:tcBorders>
              <w:top w:val="nil"/>
              <w:left w:val="nil"/>
              <w:bottom w:val="single" w:sz="4" w:space="0" w:color="000000"/>
              <w:right w:val="single" w:sz="4" w:space="0" w:color="000000"/>
            </w:tcBorders>
            <w:shd w:val="clear" w:color="auto" w:fill="D9E2F3"/>
            <w:vAlign w:val="center"/>
          </w:tcPr>
          <w:p w14:paraId="226C8685"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Apoyo</w:t>
            </w:r>
          </w:p>
        </w:tc>
        <w:tc>
          <w:tcPr>
            <w:tcW w:w="383" w:type="dxa"/>
            <w:tcBorders>
              <w:top w:val="nil"/>
              <w:left w:val="nil"/>
              <w:bottom w:val="single" w:sz="4" w:space="0" w:color="000000"/>
              <w:right w:val="single" w:sz="4" w:space="0" w:color="000000"/>
            </w:tcBorders>
            <w:shd w:val="clear" w:color="auto" w:fill="D9E2F3"/>
            <w:vAlign w:val="center"/>
          </w:tcPr>
          <w:p w14:paraId="38714E72"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Misional</w:t>
            </w:r>
          </w:p>
        </w:tc>
        <w:tc>
          <w:tcPr>
            <w:tcW w:w="383" w:type="dxa"/>
            <w:tcBorders>
              <w:top w:val="nil"/>
              <w:left w:val="nil"/>
              <w:bottom w:val="single" w:sz="4" w:space="0" w:color="000000"/>
              <w:right w:val="single" w:sz="4" w:space="0" w:color="000000"/>
            </w:tcBorders>
            <w:shd w:val="clear" w:color="auto" w:fill="D9E2F3"/>
            <w:vAlign w:val="center"/>
          </w:tcPr>
          <w:p w14:paraId="6DDB3E3F"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C.A.</w:t>
            </w:r>
          </w:p>
        </w:tc>
        <w:tc>
          <w:tcPr>
            <w:tcW w:w="383" w:type="dxa"/>
            <w:tcBorders>
              <w:top w:val="nil"/>
              <w:left w:val="nil"/>
              <w:bottom w:val="single" w:sz="4" w:space="0" w:color="000000"/>
              <w:right w:val="single" w:sz="4" w:space="0" w:color="000000"/>
            </w:tcBorders>
            <w:shd w:val="clear" w:color="auto" w:fill="D9E2F3"/>
            <w:vAlign w:val="center"/>
          </w:tcPr>
          <w:p w14:paraId="0EEFDC58"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L.N y R.</w:t>
            </w:r>
          </w:p>
        </w:tc>
        <w:tc>
          <w:tcPr>
            <w:tcW w:w="383" w:type="dxa"/>
            <w:tcBorders>
              <w:top w:val="nil"/>
              <w:left w:val="nil"/>
              <w:bottom w:val="single" w:sz="4" w:space="0" w:color="000000"/>
              <w:right w:val="single" w:sz="4" w:space="0" w:color="000000"/>
            </w:tcBorders>
            <w:shd w:val="clear" w:color="auto" w:fill="D9E2F3"/>
            <w:vAlign w:val="center"/>
          </w:tcPr>
          <w:p w14:paraId="22E4CD59"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Por Periodo</w:t>
            </w:r>
          </w:p>
        </w:tc>
        <w:tc>
          <w:tcPr>
            <w:tcW w:w="383" w:type="dxa"/>
            <w:tcBorders>
              <w:top w:val="nil"/>
              <w:left w:val="nil"/>
              <w:bottom w:val="single" w:sz="4" w:space="0" w:color="000000"/>
              <w:right w:val="single" w:sz="4" w:space="0" w:color="000000"/>
            </w:tcBorders>
            <w:shd w:val="clear" w:color="auto" w:fill="D9E2F3"/>
            <w:vAlign w:val="center"/>
          </w:tcPr>
          <w:p w14:paraId="3EA69DB5" w14:textId="77777777" w:rsidR="00A44A39" w:rsidRDefault="00B66862">
            <w:pPr>
              <w:jc w:val="center"/>
              <w:rPr>
                <w:rFonts w:ascii="Arial" w:eastAsia="Arial" w:hAnsi="Arial" w:cs="Arial"/>
                <w:b/>
                <w:color w:val="000000"/>
                <w:sz w:val="20"/>
                <w:szCs w:val="20"/>
              </w:rPr>
            </w:pPr>
            <w:r>
              <w:rPr>
                <w:rFonts w:ascii="Arial" w:eastAsia="Arial" w:hAnsi="Arial" w:cs="Arial"/>
                <w:b/>
                <w:color w:val="000000"/>
                <w:sz w:val="20"/>
                <w:szCs w:val="20"/>
              </w:rPr>
              <w:t>Provisional</w:t>
            </w:r>
          </w:p>
        </w:tc>
      </w:tr>
      <w:tr w:rsidR="00A44A39" w14:paraId="2C72DD32"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3D53932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Directivo</w:t>
            </w:r>
          </w:p>
        </w:tc>
        <w:tc>
          <w:tcPr>
            <w:tcW w:w="3400" w:type="dxa"/>
            <w:tcBorders>
              <w:top w:val="nil"/>
              <w:left w:val="nil"/>
              <w:bottom w:val="single" w:sz="4" w:space="0" w:color="000000"/>
              <w:right w:val="single" w:sz="4" w:space="0" w:color="000000"/>
            </w:tcBorders>
            <w:shd w:val="clear" w:color="auto" w:fill="auto"/>
            <w:vAlign w:val="center"/>
          </w:tcPr>
          <w:p w14:paraId="4A40FA7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Director General</w:t>
            </w:r>
          </w:p>
        </w:tc>
        <w:tc>
          <w:tcPr>
            <w:tcW w:w="474" w:type="dxa"/>
            <w:tcBorders>
              <w:top w:val="nil"/>
              <w:left w:val="nil"/>
              <w:bottom w:val="single" w:sz="4" w:space="0" w:color="000000"/>
              <w:right w:val="single" w:sz="4" w:space="0" w:color="000000"/>
            </w:tcBorders>
            <w:shd w:val="clear" w:color="auto" w:fill="auto"/>
            <w:vAlign w:val="center"/>
          </w:tcPr>
          <w:p w14:paraId="39D4682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50</w:t>
            </w:r>
          </w:p>
        </w:tc>
        <w:tc>
          <w:tcPr>
            <w:tcW w:w="383" w:type="dxa"/>
            <w:tcBorders>
              <w:top w:val="nil"/>
              <w:left w:val="nil"/>
              <w:bottom w:val="single" w:sz="4" w:space="0" w:color="000000"/>
              <w:right w:val="single" w:sz="4" w:space="0" w:color="000000"/>
            </w:tcBorders>
            <w:shd w:val="clear" w:color="auto" w:fill="auto"/>
            <w:vAlign w:val="center"/>
          </w:tcPr>
          <w:p w14:paraId="24ACE60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w:t>
            </w:r>
          </w:p>
        </w:tc>
        <w:tc>
          <w:tcPr>
            <w:tcW w:w="383" w:type="dxa"/>
            <w:tcBorders>
              <w:top w:val="nil"/>
              <w:left w:val="nil"/>
              <w:bottom w:val="single" w:sz="4" w:space="0" w:color="000000"/>
              <w:right w:val="single" w:sz="4" w:space="0" w:color="000000"/>
            </w:tcBorders>
            <w:shd w:val="clear" w:color="auto" w:fill="auto"/>
            <w:vAlign w:val="center"/>
          </w:tcPr>
          <w:p w14:paraId="180275E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317248C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085EF20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D77DA6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A033FF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9B8F12B"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3708D8B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96D982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1A880B50"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4D9C968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Directivo</w:t>
            </w:r>
          </w:p>
        </w:tc>
        <w:tc>
          <w:tcPr>
            <w:tcW w:w="3400" w:type="dxa"/>
            <w:tcBorders>
              <w:top w:val="nil"/>
              <w:left w:val="nil"/>
              <w:bottom w:val="single" w:sz="4" w:space="0" w:color="000000"/>
              <w:right w:val="single" w:sz="4" w:space="0" w:color="000000"/>
            </w:tcBorders>
            <w:shd w:val="clear" w:color="auto" w:fill="auto"/>
            <w:vAlign w:val="center"/>
          </w:tcPr>
          <w:p w14:paraId="0B47072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Director Administrativo y Financiero</w:t>
            </w:r>
          </w:p>
        </w:tc>
        <w:tc>
          <w:tcPr>
            <w:tcW w:w="474" w:type="dxa"/>
            <w:tcBorders>
              <w:top w:val="nil"/>
              <w:left w:val="nil"/>
              <w:bottom w:val="single" w:sz="4" w:space="0" w:color="000000"/>
              <w:right w:val="single" w:sz="4" w:space="0" w:color="000000"/>
            </w:tcBorders>
            <w:shd w:val="clear" w:color="auto" w:fill="auto"/>
            <w:vAlign w:val="center"/>
          </w:tcPr>
          <w:p w14:paraId="3EE9CAF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9</w:t>
            </w:r>
          </w:p>
        </w:tc>
        <w:tc>
          <w:tcPr>
            <w:tcW w:w="383" w:type="dxa"/>
            <w:tcBorders>
              <w:top w:val="nil"/>
              <w:left w:val="nil"/>
              <w:bottom w:val="single" w:sz="4" w:space="0" w:color="000000"/>
              <w:right w:val="single" w:sz="4" w:space="0" w:color="000000"/>
            </w:tcBorders>
            <w:shd w:val="clear" w:color="auto" w:fill="auto"/>
            <w:vAlign w:val="center"/>
          </w:tcPr>
          <w:p w14:paraId="2A1C4C3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1AA55FD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555B280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51B7BB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A66204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AF0325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BC8B79B"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3E389A6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C87A31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5B691FD6"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7026B5C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Directivo</w:t>
            </w:r>
          </w:p>
        </w:tc>
        <w:tc>
          <w:tcPr>
            <w:tcW w:w="3400" w:type="dxa"/>
            <w:tcBorders>
              <w:top w:val="nil"/>
              <w:left w:val="nil"/>
              <w:bottom w:val="single" w:sz="4" w:space="0" w:color="000000"/>
              <w:right w:val="single" w:sz="4" w:space="0" w:color="000000"/>
            </w:tcBorders>
            <w:shd w:val="clear" w:color="auto" w:fill="auto"/>
            <w:vAlign w:val="center"/>
          </w:tcPr>
          <w:p w14:paraId="1817A81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Director de Formación</w:t>
            </w:r>
          </w:p>
        </w:tc>
        <w:tc>
          <w:tcPr>
            <w:tcW w:w="474" w:type="dxa"/>
            <w:tcBorders>
              <w:top w:val="nil"/>
              <w:left w:val="nil"/>
              <w:bottom w:val="single" w:sz="4" w:space="0" w:color="000000"/>
              <w:right w:val="single" w:sz="4" w:space="0" w:color="000000"/>
            </w:tcBorders>
            <w:shd w:val="clear" w:color="auto" w:fill="auto"/>
            <w:vAlign w:val="center"/>
          </w:tcPr>
          <w:p w14:paraId="5E97973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9</w:t>
            </w:r>
          </w:p>
        </w:tc>
        <w:tc>
          <w:tcPr>
            <w:tcW w:w="383" w:type="dxa"/>
            <w:tcBorders>
              <w:top w:val="nil"/>
              <w:left w:val="nil"/>
              <w:bottom w:val="single" w:sz="4" w:space="0" w:color="000000"/>
              <w:right w:val="single" w:sz="4" w:space="0" w:color="000000"/>
            </w:tcBorders>
            <w:shd w:val="clear" w:color="auto" w:fill="auto"/>
            <w:vAlign w:val="center"/>
          </w:tcPr>
          <w:p w14:paraId="789159F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7B3661E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7055D14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74A50D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90CC71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A3E758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93084E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1567743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CE2948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1D505ADD"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6AF74D4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Directivo</w:t>
            </w:r>
          </w:p>
        </w:tc>
        <w:tc>
          <w:tcPr>
            <w:tcW w:w="3400" w:type="dxa"/>
            <w:tcBorders>
              <w:top w:val="nil"/>
              <w:left w:val="nil"/>
              <w:bottom w:val="single" w:sz="4" w:space="0" w:color="000000"/>
              <w:right w:val="single" w:sz="4" w:space="0" w:color="000000"/>
            </w:tcBorders>
            <w:shd w:val="clear" w:color="auto" w:fill="auto"/>
            <w:vAlign w:val="center"/>
          </w:tcPr>
          <w:p w14:paraId="2C5D66C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Director Artístico</w:t>
            </w:r>
          </w:p>
        </w:tc>
        <w:tc>
          <w:tcPr>
            <w:tcW w:w="474" w:type="dxa"/>
            <w:tcBorders>
              <w:top w:val="nil"/>
              <w:left w:val="nil"/>
              <w:bottom w:val="single" w:sz="4" w:space="0" w:color="000000"/>
              <w:right w:val="single" w:sz="4" w:space="0" w:color="000000"/>
            </w:tcBorders>
            <w:shd w:val="clear" w:color="auto" w:fill="auto"/>
            <w:vAlign w:val="center"/>
          </w:tcPr>
          <w:p w14:paraId="163CB80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9</w:t>
            </w:r>
          </w:p>
        </w:tc>
        <w:tc>
          <w:tcPr>
            <w:tcW w:w="383" w:type="dxa"/>
            <w:tcBorders>
              <w:top w:val="nil"/>
              <w:left w:val="nil"/>
              <w:bottom w:val="single" w:sz="4" w:space="0" w:color="000000"/>
              <w:right w:val="single" w:sz="4" w:space="0" w:color="000000"/>
            </w:tcBorders>
            <w:shd w:val="clear" w:color="auto" w:fill="auto"/>
            <w:vAlign w:val="center"/>
          </w:tcPr>
          <w:p w14:paraId="326CFFA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1A9836A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5C74A89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0274642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631ED1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0461D13F"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7A51D5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5463D9C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5A6066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19779EB5"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2EBA81A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Asesor</w:t>
            </w:r>
          </w:p>
        </w:tc>
        <w:tc>
          <w:tcPr>
            <w:tcW w:w="3400" w:type="dxa"/>
            <w:tcBorders>
              <w:top w:val="nil"/>
              <w:left w:val="nil"/>
              <w:bottom w:val="single" w:sz="4" w:space="0" w:color="000000"/>
              <w:right w:val="single" w:sz="4" w:space="0" w:color="000000"/>
            </w:tcBorders>
            <w:shd w:val="clear" w:color="auto" w:fill="auto"/>
            <w:vAlign w:val="center"/>
          </w:tcPr>
          <w:p w14:paraId="440D252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Asesor</w:t>
            </w:r>
          </w:p>
        </w:tc>
        <w:tc>
          <w:tcPr>
            <w:tcW w:w="474" w:type="dxa"/>
            <w:tcBorders>
              <w:top w:val="nil"/>
              <w:left w:val="nil"/>
              <w:bottom w:val="single" w:sz="4" w:space="0" w:color="000000"/>
              <w:right w:val="single" w:sz="4" w:space="0" w:color="000000"/>
            </w:tcBorders>
            <w:shd w:val="clear" w:color="auto" w:fill="auto"/>
            <w:vAlign w:val="center"/>
          </w:tcPr>
          <w:p w14:paraId="4756630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9</w:t>
            </w:r>
          </w:p>
        </w:tc>
        <w:tc>
          <w:tcPr>
            <w:tcW w:w="383" w:type="dxa"/>
            <w:tcBorders>
              <w:top w:val="nil"/>
              <w:left w:val="nil"/>
              <w:bottom w:val="single" w:sz="4" w:space="0" w:color="000000"/>
              <w:right w:val="single" w:sz="4" w:space="0" w:color="000000"/>
            </w:tcBorders>
            <w:shd w:val="clear" w:color="auto" w:fill="auto"/>
            <w:vAlign w:val="center"/>
          </w:tcPr>
          <w:p w14:paraId="582260BB"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39E5C79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3F25D32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92251F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4AF3F8F"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22607B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803159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95FB2CB"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175B026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120F917E" w14:textId="77777777" w:rsidTr="00B32E30">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1D103A3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Profesional</w:t>
            </w:r>
          </w:p>
        </w:tc>
        <w:tc>
          <w:tcPr>
            <w:tcW w:w="3400" w:type="dxa"/>
            <w:tcBorders>
              <w:top w:val="nil"/>
              <w:left w:val="nil"/>
              <w:bottom w:val="single" w:sz="4" w:space="0" w:color="000000"/>
              <w:right w:val="single" w:sz="4" w:space="0" w:color="000000"/>
            </w:tcBorders>
            <w:shd w:val="clear" w:color="auto" w:fill="auto"/>
            <w:vAlign w:val="center"/>
          </w:tcPr>
          <w:p w14:paraId="1295BC6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Maestro en Artes</w:t>
            </w:r>
          </w:p>
        </w:tc>
        <w:tc>
          <w:tcPr>
            <w:tcW w:w="474" w:type="dxa"/>
            <w:tcBorders>
              <w:top w:val="nil"/>
              <w:left w:val="nil"/>
              <w:bottom w:val="single" w:sz="4" w:space="0" w:color="000000"/>
              <w:right w:val="single" w:sz="4" w:space="0" w:color="000000"/>
            </w:tcBorders>
            <w:shd w:val="clear" w:color="auto" w:fill="auto"/>
            <w:vAlign w:val="center"/>
          </w:tcPr>
          <w:p w14:paraId="156A6BC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209</w:t>
            </w:r>
          </w:p>
        </w:tc>
        <w:tc>
          <w:tcPr>
            <w:tcW w:w="383" w:type="dxa"/>
            <w:tcBorders>
              <w:top w:val="nil"/>
              <w:left w:val="nil"/>
              <w:bottom w:val="single" w:sz="4" w:space="0" w:color="000000"/>
              <w:right w:val="single" w:sz="4" w:space="0" w:color="000000"/>
            </w:tcBorders>
            <w:shd w:val="clear" w:color="auto" w:fill="auto"/>
            <w:vAlign w:val="center"/>
          </w:tcPr>
          <w:p w14:paraId="2EB5846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04A4B4AB" w14:textId="0EA359D2" w:rsidR="00A44A39" w:rsidRDefault="00B32E30">
            <w:pPr>
              <w:jc w:val="center"/>
              <w:rPr>
                <w:rFonts w:ascii="Arial" w:eastAsia="Arial" w:hAnsi="Arial" w:cs="Arial"/>
                <w:color w:val="000000"/>
                <w:sz w:val="20"/>
                <w:szCs w:val="20"/>
              </w:rPr>
            </w:pPr>
            <w:r>
              <w:rPr>
                <w:rFonts w:ascii="Arial" w:eastAsia="Arial" w:hAnsi="Arial" w:cs="Arial"/>
                <w:color w:val="000000"/>
                <w:sz w:val="20"/>
                <w:szCs w:val="20"/>
              </w:rPr>
              <w:t>10</w:t>
            </w:r>
          </w:p>
        </w:tc>
        <w:tc>
          <w:tcPr>
            <w:tcW w:w="383" w:type="dxa"/>
            <w:tcBorders>
              <w:top w:val="nil"/>
              <w:left w:val="nil"/>
              <w:bottom w:val="single" w:sz="4" w:space="0" w:color="000000"/>
              <w:right w:val="single" w:sz="4" w:space="0" w:color="000000"/>
            </w:tcBorders>
            <w:shd w:val="clear" w:color="auto" w:fill="auto"/>
            <w:vAlign w:val="center"/>
          </w:tcPr>
          <w:p w14:paraId="3DB3AA6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09D510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E39DC4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CC335E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7F7B0A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54414A1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7C52B0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5C1C2193"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7A4D573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Profesional</w:t>
            </w:r>
          </w:p>
        </w:tc>
        <w:tc>
          <w:tcPr>
            <w:tcW w:w="3400" w:type="dxa"/>
            <w:tcBorders>
              <w:top w:val="nil"/>
              <w:left w:val="nil"/>
              <w:bottom w:val="single" w:sz="4" w:space="0" w:color="000000"/>
              <w:right w:val="single" w:sz="4" w:space="0" w:color="000000"/>
            </w:tcBorders>
            <w:shd w:val="clear" w:color="auto" w:fill="auto"/>
            <w:vAlign w:val="center"/>
          </w:tcPr>
          <w:p w14:paraId="04183EB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Maestro en Artes - Pianista</w:t>
            </w:r>
          </w:p>
        </w:tc>
        <w:tc>
          <w:tcPr>
            <w:tcW w:w="474" w:type="dxa"/>
            <w:tcBorders>
              <w:top w:val="nil"/>
              <w:left w:val="nil"/>
              <w:bottom w:val="single" w:sz="4" w:space="0" w:color="000000"/>
              <w:right w:val="single" w:sz="4" w:space="0" w:color="000000"/>
            </w:tcBorders>
            <w:shd w:val="clear" w:color="auto" w:fill="auto"/>
            <w:vAlign w:val="center"/>
          </w:tcPr>
          <w:p w14:paraId="312AA2A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209</w:t>
            </w:r>
          </w:p>
        </w:tc>
        <w:tc>
          <w:tcPr>
            <w:tcW w:w="383" w:type="dxa"/>
            <w:tcBorders>
              <w:top w:val="nil"/>
              <w:left w:val="nil"/>
              <w:bottom w:val="single" w:sz="4" w:space="0" w:color="000000"/>
              <w:right w:val="single" w:sz="4" w:space="0" w:color="000000"/>
            </w:tcBorders>
            <w:shd w:val="clear" w:color="auto" w:fill="auto"/>
            <w:vAlign w:val="center"/>
          </w:tcPr>
          <w:p w14:paraId="4BAEFF5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1387880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517B187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A665A7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3AA04F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6C8C468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C7A6CA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5FA6305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0599108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072945B8"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3E40DB0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591F27C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Secretaria Ejecutiva</w:t>
            </w:r>
          </w:p>
        </w:tc>
        <w:tc>
          <w:tcPr>
            <w:tcW w:w="474" w:type="dxa"/>
            <w:tcBorders>
              <w:top w:val="nil"/>
              <w:left w:val="nil"/>
              <w:bottom w:val="single" w:sz="4" w:space="0" w:color="000000"/>
              <w:right w:val="single" w:sz="4" w:space="0" w:color="000000"/>
            </w:tcBorders>
            <w:shd w:val="clear" w:color="auto" w:fill="auto"/>
            <w:vAlign w:val="center"/>
          </w:tcPr>
          <w:p w14:paraId="1B45084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425</w:t>
            </w:r>
          </w:p>
        </w:tc>
        <w:tc>
          <w:tcPr>
            <w:tcW w:w="383" w:type="dxa"/>
            <w:tcBorders>
              <w:top w:val="nil"/>
              <w:left w:val="nil"/>
              <w:bottom w:val="single" w:sz="4" w:space="0" w:color="000000"/>
              <w:right w:val="single" w:sz="4" w:space="0" w:color="000000"/>
            </w:tcBorders>
            <w:shd w:val="clear" w:color="auto" w:fill="auto"/>
            <w:vAlign w:val="center"/>
          </w:tcPr>
          <w:p w14:paraId="425A8A1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5</w:t>
            </w:r>
          </w:p>
        </w:tc>
        <w:tc>
          <w:tcPr>
            <w:tcW w:w="383" w:type="dxa"/>
            <w:tcBorders>
              <w:top w:val="nil"/>
              <w:left w:val="nil"/>
              <w:bottom w:val="single" w:sz="4" w:space="0" w:color="000000"/>
              <w:right w:val="single" w:sz="4" w:space="0" w:color="000000"/>
            </w:tcBorders>
            <w:shd w:val="clear" w:color="auto" w:fill="auto"/>
            <w:vAlign w:val="center"/>
          </w:tcPr>
          <w:p w14:paraId="2670847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4595FF6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674D5A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B357EC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E4E401B"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AFE508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963591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35D238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121DBF6F"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55645C7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Profesional</w:t>
            </w:r>
          </w:p>
        </w:tc>
        <w:tc>
          <w:tcPr>
            <w:tcW w:w="3400" w:type="dxa"/>
            <w:tcBorders>
              <w:top w:val="nil"/>
              <w:left w:val="nil"/>
              <w:bottom w:val="single" w:sz="4" w:space="0" w:color="000000"/>
              <w:right w:val="single" w:sz="4" w:space="0" w:color="000000"/>
            </w:tcBorders>
            <w:shd w:val="clear" w:color="auto" w:fill="auto"/>
            <w:vAlign w:val="center"/>
          </w:tcPr>
          <w:p w14:paraId="063D0D8B"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Profesional Universitario</w:t>
            </w:r>
          </w:p>
        </w:tc>
        <w:tc>
          <w:tcPr>
            <w:tcW w:w="474" w:type="dxa"/>
            <w:tcBorders>
              <w:top w:val="nil"/>
              <w:left w:val="nil"/>
              <w:bottom w:val="single" w:sz="4" w:space="0" w:color="000000"/>
              <w:right w:val="single" w:sz="4" w:space="0" w:color="000000"/>
            </w:tcBorders>
            <w:shd w:val="clear" w:color="auto" w:fill="auto"/>
            <w:vAlign w:val="center"/>
          </w:tcPr>
          <w:p w14:paraId="6F3D30B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219</w:t>
            </w:r>
          </w:p>
        </w:tc>
        <w:tc>
          <w:tcPr>
            <w:tcW w:w="383" w:type="dxa"/>
            <w:tcBorders>
              <w:top w:val="nil"/>
              <w:left w:val="nil"/>
              <w:bottom w:val="single" w:sz="4" w:space="0" w:color="000000"/>
              <w:right w:val="single" w:sz="4" w:space="0" w:color="000000"/>
            </w:tcBorders>
            <w:shd w:val="clear" w:color="auto" w:fill="auto"/>
            <w:vAlign w:val="center"/>
          </w:tcPr>
          <w:p w14:paraId="19829E3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w:t>
            </w:r>
          </w:p>
        </w:tc>
        <w:tc>
          <w:tcPr>
            <w:tcW w:w="383" w:type="dxa"/>
            <w:tcBorders>
              <w:top w:val="nil"/>
              <w:left w:val="nil"/>
              <w:bottom w:val="single" w:sz="4" w:space="0" w:color="000000"/>
              <w:right w:val="single" w:sz="4" w:space="0" w:color="000000"/>
            </w:tcBorders>
            <w:shd w:val="clear" w:color="auto" w:fill="auto"/>
            <w:vAlign w:val="center"/>
          </w:tcPr>
          <w:p w14:paraId="42FBA32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3</w:t>
            </w:r>
          </w:p>
        </w:tc>
        <w:tc>
          <w:tcPr>
            <w:tcW w:w="383" w:type="dxa"/>
            <w:tcBorders>
              <w:top w:val="nil"/>
              <w:left w:val="nil"/>
              <w:bottom w:val="single" w:sz="4" w:space="0" w:color="000000"/>
              <w:right w:val="single" w:sz="4" w:space="0" w:color="000000"/>
            </w:tcBorders>
            <w:shd w:val="clear" w:color="auto" w:fill="auto"/>
            <w:vAlign w:val="center"/>
          </w:tcPr>
          <w:p w14:paraId="4AAFEC5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A0A63C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5BA3910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CFFA66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6A0076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449AF0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9CD400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5E41F1B3"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1A45C0F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Profesional</w:t>
            </w:r>
          </w:p>
        </w:tc>
        <w:tc>
          <w:tcPr>
            <w:tcW w:w="3400" w:type="dxa"/>
            <w:tcBorders>
              <w:top w:val="nil"/>
              <w:left w:val="nil"/>
              <w:bottom w:val="single" w:sz="4" w:space="0" w:color="000000"/>
              <w:right w:val="single" w:sz="4" w:space="0" w:color="000000"/>
            </w:tcBorders>
            <w:shd w:val="clear" w:color="auto" w:fill="auto"/>
            <w:vAlign w:val="center"/>
          </w:tcPr>
          <w:p w14:paraId="0108B40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Profesional Universitario</w:t>
            </w:r>
          </w:p>
        </w:tc>
        <w:tc>
          <w:tcPr>
            <w:tcW w:w="474" w:type="dxa"/>
            <w:tcBorders>
              <w:top w:val="nil"/>
              <w:left w:val="nil"/>
              <w:bottom w:val="single" w:sz="4" w:space="0" w:color="000000"/>
              <w:right w:val="single" w:sz="4" w:space="0" w:color="000000"/>
            </w:tcBorders>
            <w:shd w:val="clear" w:color="auto" w:fill="auto"/>
            <w:vAlign w:val="center"/>
          </w:tcPr>
          <w:p w14:paraId="45F014E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219</w:t>
            </w:r>
          </w:p>
        </w:tc>
        <w:tc>
          <w:tcPr>
            <w:tcW w:w="383" w:type="dxa"/>
            <w:tcBorders>
              <w:top w:val="nil"/>
              <w:left w:val="nil"/>
              <w:bottom w:val="single" w:sz="4" w:space="0" w:color="000000"/>
              <w:right w:val="single" w:sz="4" w:space="0" w:color="000000"/>
            </w:tcBorders>
            <w:shd w:val="clear" w:color="auto" w:fill="auto"/>
            <w:vAlign w:val="center"/>
          </w:tcPr>
          <w:p w14:paraId="265F25B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w:t>
            </w:r>
          </w:p>
        </w:tc>
        <w:tc>
          <w:tcPr>
            <w:tcW w:w="383" w:type="dxa"/>
            <w:tcBorders>
              <w:top w:val="nil"/>
              <w:left w:val="nil"/>
              <w:bottom w:val="single" w:sz="4" w:space="0" w:color="000000"/>
              <w:right w:val="single" w:sz="4" w:space="0" w:color="000000"/>
            </w:tcBorders>
            <w:shd w:val="clear" w:color="auto" w:fill="auto"/>
            <w:vAlign w:val="center"/>
          </w:tcPr>
          <w:p w14:paraId="2B3667BF"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6136DFC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134BE6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F7828D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FC484C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126554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6A26B3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FF828C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49831428"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22E246D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5DC414F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Auxiliar Servicios Generales</w:t>
            </w:r>
          </w:p>
        </w:tc>
        <w:tc>
          <w:tcPr>
            <w:tcW w:w="474" w:type="dxa"/>
            <w:tcBorders>
              <w:top w:val="nil"/>
              <w:left w:val="nil"/>
              <w:bottom w:val="single" w:sz="4" w:space="0" w:color="000000"/>
              <w:right w:val="single" w:sz="4" w:space="0" w:color="000000"/>
            </w:tcBorders>
            <w:shd w:val="clear" w:color="auto" w:fill="auto"/>
            <w:vAlign w:val="center"/>
          </w:tcPr>
          <w:p w14:paraId="4664714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470</w:t>
            </w:r>
          </w:p>
        </w:tc>
        <w:tc>
          <w:tcPr>
            <w:tcW w:w="383" w:type="dxa"/>
            <w:tcBorders>
              <w:top w:val="nil"/>
              <w:left w:val="nil"/>
              <w:bottom w:val="single" w:sz="4" w:space="0" w:color="000000"/>
              <w:right w:val="single" w:sz="4" w:space="0" w:color="000000"/>
            </w:tcBorders>
            <w:shd w:val="clear" w:color="auto" w:fill="auto"/>
            <w:vAlign w:val="center"/>
          </w:tcPr>
          <w:p w14:paraId="165A000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15BF69C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3</w:t>
            </w:r>
          </w:p>
        </w:tc>
        <w:tc>
          <w:tcPr>
            <w:tcW w:w="383" w:type="dxa"/>
            <w:tcBorders>
              <w:top w:val="nil"/>
              <w:left w:val="nil"/>
              <w:bottom w:val="single" w:sz="4" w:space="0" w:color="000000"/>
              <w:right w:val="single" w:sz="4" w:space="0" w:color="000000"/>
            </w:tcBorders>
            <w:shd w:val="clear" w:color="auto" w:fill="auto"/>
            <w:vAlign w:val="center"/>
          </w:tcPr>
          <w:p w14:paraId="6B49C65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084AE9A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3CF24A7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61F83CF"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7210681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A76875B"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033AD1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7EBB4DE4"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44A9181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260E618F"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Auxiliar Servicios Generales</w:t>
            </w:r>
          </w:p>
        </w:tc>
        <w:tc>
          <w:tcPr>
            <w:tcW w:w="474" w:type="dxa"/>
            <w:tcBorders>
              <w:top w:val="nil"/>
              <w:left w:val="nil"/>
              <w:bottom w:val="single" w:sz="4" w:space="0" w:color="000000"/>
              <w:right w:val="single" w:sz="4" w:space="0" w:color="000000"/>
            </w:tcBorders>
            <w:shd w:val="clear" w:color="auto" w:fill="auto"/>
            <w:vAlign w:val="center"/>
          </w:tcPr>
          <w:p w14:paraId="10C162B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470</w:t>
            </w:r>
          </w:p>
        </w:tc>
        <w:tc>
          <w:tcPr>
            <w:tcW w:w="383" w:type="dxa"/>
            <w:tcBorders>
              <w:top w:val="nil"/>
              <w:left w:val="nil"/>
              <w:bottom w:val="single" w:sz="4" w:space="0" w:color="000000"/>
              <w:right w:val="single" w:sz="4" w:space="0" w:color="000000"/>
            </w:tcBorders>
            <w:shd w:val="clear" w:color="auto" w:fill="auto"/>
            <w:vAlign w:val="center"/>
          </w:tcPr>
          <w:p w14:paraId="65F425E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625EBD3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678E174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12034B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5B93519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DAD99B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47EE0FF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2E7497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DF9AEFF"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r>
      <w:tr w:rsidR="00A44A39" w14:paraId="4038F42D"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72A81B3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3627E7E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Auxiliar Servicios Generales</w:t>
            </w:r>
          </w:p>
        </w:tc>
        <w:tc>
          <w:tcPr>
            <w:tcW w:w="474" w:type="dxa"/>
            <w:tcBorders>
              <w:top w:val="nil"/>
              <w:left w:val="nil"/>
              <w:bottom w:val="single" w:sz="4" w:space="0" w:color="000000"/>
              <w:right w:val="single" w:sz="4" w:space="0" w:color="000000"/>
            </w:tcBorders>
            <w:shd w:val="clear" w:color="auto" w:fill="auto"/>
            <w:vAlign w:val="center"/>
          </w:tcPr>
          <w:p w14:paraId="33F8D00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470</w:t>
            </w:r>
          </w:p>
        </w:tc>
        <w:tc>
          <w:tcPr>
            <w:tcW w:w="383" w:type="dxa"/>
            <w:tcBorders>
              <w:top w:val="nil"/>
              <w:left w:val="nil"/>
              <w:bottom w:val="single" w:sz="4" w:space="0" w:color="000000"/>
              <w:right w:val="single" w:sz="4" w:space="0" w:color="000000"/>
            </w:tcBorders>
            <w:shd w:val="clear" w:color="auto" w:fill="auto"/>
            <w:vAlign w:val="center"/>
          </w:tcPr>
          <w:p w14:paraId="6B50819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w:t>
            </w:r>
          </w:p>
        </w:tc>
        <w:tc>
          <w:tcPr>
            <w:tcW w:w="383" w:type="dxa"/>
            <w:tcBorders>
              <w:top w:val="nil"/>
              <w:left w:val="nil"/>
              <w:bottom w:val="single" w:sz="4" w:space="0" w:color="000000"/>
              <w:right w:val="single" w:sz="4" w:space="0" w:color="000000"/>
            </w:tcBorders>
            <w:shd w:val="clear" w:color="auto" w:fill="auto"/>
            <w:vAlign w:val="center"/>
          </w:tcPr>
          <w:p w14:paraId="0A8865C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2DB5811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72674F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0961521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596FE9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3CB1D69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0D8198A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FC9EA9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16556B4F"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63FC35F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5DAF39D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Operario Calificado</w:t>
            </w:r>
          </w:p>
        </w:tc>
        <w:tc>
          <w:tcPr>
            <w:tcW w:w="474" w:type="dxa"/>
            <w:tcBorders>
              <w:top w:val="nil"/>
              <w:left w:val="nil"/>
              <w:bottom w:val="single" w:sz="4" w:space="0" w:color="000000"/>
              <w:right w:val="single" w:sz="4" w:space="0" w:color="000000"/>
            </w:tcBorders>
            <w:shd w:val="clear" w:color="auto" w:fill="auto"/>
            <w:vAlign w:val="center"/>
          </w:tcPr>
          <w:p w14:paraId="264AE9A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490</w:t>
            </w:r>
          </w:p>
        </w:tc>
        <w:tc>
          <w:tcPr>
            <w:tcW w:w="383" w:type="dxa"/>
            <w:tcBorders>
              <w:top w:val="nil"/>
              <w:left w:val="nil"/>
              <w:bottom w:val="single" w:sz="4" w:space="0" w:color="000000"/>
              <w:right w:val="single" w:sz="4" w:space="0" w:color="000000"/>
            </w:tcBorders>
            <w:shd w:val="clear" w:color="auto" w:fill="auto"/>
            <w:vAlign w:val="center"/>
          </w:tcPr>
          <w:p w14:paraId="22F1E7B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w:t>
            </w:r>
          </w:p>
        </w:tc>
        <w:tc>
          <w:tcPr>
            <w:tcW w:w="383" w:type="dxa"/>
            <w:tcBorders>
              <w:top w:val="nil"/>
              <w:left w:val="nil"/>
              <w:bottom w:val="single" w:sz="4" w:space="0" w:color="000000"/>
              <w:right w:val="single" w:sz="4" w:space="0" w:color="000000"/>
            </w:tcBorders>
            <w:shd w:val="clear" w:color="auto" w:fill="auto"/>
            <w:vAlign w:val="center"/>
          </w:tcPr>
          <w:p w14:paraId="3552EE4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498B3C3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D919C1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61EDCB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79069D7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0DD3CC8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15A18E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87A492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21AA5BF0"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66027F2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lastRenderedPageBreak/>
              <w:t>Asistencial</w:t>
            </w:r>
          </w:p>
        </w:tc>
        <w:tc>
          <w:tcPr>
            <w:tcW w:w="3400" w:type="dxa"/>
            <w:tcBorders>
              <w:top w:val="nil"/>
              <w:left w:val="nil"/>
              <w:bottom w:val="single" w:sz="4" w:space="0" w:color="000000"/>
              <w:right w:val="single" w:sz="4" w:space="0" w:color="000000"/>
            </w:tcBorders>
            <w:shd w:val="clear" w:color="auto" w:fill="auto"/>
            <w:vAlign w:val="center"/>
          </w:tcPr>
          <w:p w14:paraId="08D3EF2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Operario</w:t>
            </w:r>
          </w:p>
        </w:tc>
        <w:tc>
          <w:tcPr>
            <w:tcW w:w="474" w:type="dxa"/>
            <w:tcBorders>
              <w:top w:val="nil"/>
              <w:left w:val="nil"/>
              <w:bottom w:val="single" w:sz="4" w:space="0" w:color="000000"/>
              <w:right w:val="single" w:sz="4" w:space="0" w:color="000000"/>
            </w:tcBorders>
            <w:shd w:val="clear" w:color="auto" w:fill="auto"/>
            <w:vAlign w:val="center"/>
          </w:tcPr>
          <w:p w14:paraId="45898C2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487</w:t>
            </w:r>
          </w:p>
        </w:tc>
        <w:tc>
          <w:tcPr>
            <w:tcW w:w="383" w:type="dxa"/>
            <w:tcBorders>
              <w:top w:val="nil"/>
              <w:left w:val="nil"/>
              <w:bottom w:val="single" w:sz="4" w:space="0" w:color="000000"/>
              <w:right w:val="single" w:sz="4" w:space="0" w:color="000000"/>
            </w:tcBorders>
            <w:shd w:val="clear" w:color="auto" w:fill="auto"/>
            <w:vAlign w:val="center"/>
          </w:tcPr>
          <w:p w14:paraId="48D33CE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w:t>
            </w:r>
          </w:p>
        </w:tc>
        <w:tc>
          <w:tcPr>
            <w:tcW w:w="383" w:type="dxa"/>
            <w:tcBorders>
              <w:top w:val="nil"/>
              <w:left w:val="nil"/>
              <w:bottom w:val="single" w:sz="4" w:space="0" w:color="000000"/>
              <w:right w:val="single" w:sz="4" w:space="0" w:color="000000"/>
            </w:tcBorders>
            <w:shd w:val="clear" w:color="auto" w:fill="auto"/>
            <w:vAlign w:val="center"/>
          </w:tcPr>
          <w:p w14:paraId="6AD3C68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5974F34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6A4CAF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B0B7B7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28B4E8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65507EE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C20AF6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CF582D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71CB0ECF"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1F95BF3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4ED536D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Auxiliar Administrativo</w:t>
            </w:r>
          </w:p>
        </w:tc>
        <w:tc>
          <w:tcPr>
            <w:tcW w:w="474" w:type="dxa"/>
            <w:tcBorders>
              <w:top w:val="nil"/>
              <w:left w:val="nil"/>
              <w:bottom w:val="single" w:sz="4" w:space="0" w:color="000000"/>
              <w:right w:val="single" w:sz="4" w:space="0" w:color="000000"/>
            </w:tcBorders>
            <w:shd w:val="clear" w:color="auto" w:fill="auto"/>
            <w:vAlign w:val="center"/>
          </w:tcPr>
          <w:p w14:paraId="64A6714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407</w:t>
            </w:r>
          </w:p>
        </w:tc>
        <w:tc>
          <w:tcPr>
            <w:tcW w:w="383" w:type="dxa"/>
            <w:tcBorders>
              <w:top w:val="nil"/>
              <w:left w:val="nil"/>
              <w:bottom w:val="single" w:sz="4" w:space="0" w:color="000000"/>
              <w:right w:val="single" w:sz="4" w:space="0" w:color="000000"/>
            </w:tcBorders>
            <w:shd w:val="clear" w:color="auto" w:fill="auto"/>
            <w:vAlign w:val="center"/>
          </w:tcPr>
          <w:p w14:paraId="6053DAE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3</w:t>
            </w:r>
          </w:p>
        </w:tc>
        <w:tc>
          <w:tcPr>
            <w:tcW w:w="383" w:type="dxa"/>
            <w:tcBorders>
              <w:top w:val="nil"/>
              <w:left w:val="nil"/>
              <w:bottom w:val="single" w:sz="4" w:space="0" w:color="000000"/>
              <w:right w:val="single" w:sz="4" w:space="0" w:color="000000"/>
            </w:tcBorders>
            <w:shd w:val="clear" w:color="auto" w:fill="auto"/>
            <w:vAlign w:val="center"/>
          </w:tcPr>
          <w:p w14:paraId="0C0289C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586D067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99DD546"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670BDAA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CD0656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71CE07D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08108A0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D8BA87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24A58488"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160407E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33B0B1C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Secretaria</w:t>
            </w:r>
          </w:p>
        </w:tc>
        <w:tc>
          <w:tcPr>
            <w:tcW w:w="474" w:type="dxa"/>
            <w:tcBorders>
              <w:top w:val="nil"/>
              <w:left w:val="nil"/>
              <w:bottom w:val="single" w:sz="4" w:space="0" w:color="000000"/>
              <w:right w:val="single" w:sz="4" w:space="0" w:color="000000"/>
            </w:tcBorders>
            <w:shd w:val="clear" w:color="auto" w:fill="auto"/>
            <w:vAlign w:val="center"/>
          </w:tcPr>
          <w:p w14:paraId="1CA1700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440</w:t>
            </w:r>
          </w:p>
        </w:tc>
        <w:tc>
          <w:tcPr>
            <w:tcW w:w="383" w:type="dxa"/>
            <w:tcBorders>
              <w:top w:val="nil"/>
              <w:left w:val="nil"/>
              <w:bottom w:val="single" w:sz="4" w:space="0" w:color="000000"/>
              <w:right w:val="single" w:sz="4" w:space="0" w:color="000000"/>
            </w:tcBorders>
            <w:shd w:val="clear" w:color="auto" w:fill="auto"/>
            <w:vAlign w:val="center"/>
          </w:tcPr>
          <w:p w14:paraId="785431C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w:t>
            </w:r>
          </w:p>
        </w:tc>
        <w:tc>
          <w:tcPr>
            <w:tcW w:w="383" w:type="dxa"/>
            <w:tcBorders>
              <w:top w:val="nil"/>
              <w:left w:val="nil"/>
              <w:bottom w:val="single" w:sz="4" w:space="0" w:color="000000"/>
              <w:right w:val="single" w:sz="4" w:space="0" w:color="000000"/>
            </w:tcBorders>
            <w:shd w:val="clear" w:color="auto" w:fill="auto"/>
            <w:vAlign w:val="center"/>
          </w:tcPr>
          <w:p w14:paraId="5106B30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090FDB0F"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053800D"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5E64560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A4431B0"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3533182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0432B3F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282EC0C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09B21BC1"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7CDA15C4"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5582018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Tesorero General</w:t>
            </w:r>
          </w:p>
        </w:tc>
        <w:tc>
          <w:tcPr>
            <w:tcW w:w="474" w:type="dxa"/>
            <w:tcBorders>
              <w:top w:val="nil"/>
              <w:left w:val="nil"/>
              <w:bottom w:val="single" w:sz="4" w:space="0" w:color="000000"/>
              <w:right w:val="single" w:sz="4" w:space="0" w:color="000000"/>
            </w:tcBorders>
            <w:shd w:val="clear" w:color="auto" w:fill="auto"/>
            <w:vAlign w:val="center"/>
          </w:tcPr>
          <w:p w14:paraId="778185A9"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201</w:t>
            </w:r>
          </w:p>
        </w:tc>
        <w:tc>
          <w:tcPr>
            <w:tcW w:w="383" w:type="dxa"/>
            <w:tcBorders>
              <w:top w:val="nil"/>
              <w:left w:val="nil"/>
              <w:bottom w:val="single" w:sz="4" w:space="0" w:color="000000"/>
              <w:right w:val="single" w:sz="4" w:space="0" w:color="000000"/>
            </w:tcBorders>
            <w:shd w:val="clear" w:color="auto" w:fill="auto"/>
            <w:vAlign w:val="center"/>
          </w:tcPr>
          <w:p w14:paraId="3EF19AA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w:t>
            </w:r>
          </w:p>
        </w:tc>
        <w:tc>
          <w:tcPr>
            <w:tcW w:w="383" w:type="dxa"/>
            <w:tcBorders>
              <w:top w:val="nil"/>
              <w:left w:val="nil"/>
              <w:bottom w:val="single" w:sz="4" w:space="0" w:color="000000"/>
              <w:right w:val="single" w:sz="4" w:space="0" w:color="000000"/>
            </w:tcBorders>
            <w:shd w:val="clear" w:color="auto" w:fill="auto"/>
            <w:vAlign w:val="center"/>
          </w:tcPr>
          <w:p w14:paraId="55C6049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28AB7A4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557F236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097DFAF1"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41109ED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35AA1C75"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5A128E7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4F15763"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33E82535" w14:textId="77777777">
        <w:trPr>
          <w:trHeight w:val="300"/>
        </w:trPr>
        <w:tc>
          <w:tcPr>
            <w:tcW w:w="1200" w:type="dxa"/>
            <w:tcBorders>
              <w:top w:val="nil"/>
              <w:left w:val="single" w:sz="4" w:space="0" w:color="000000"/>
              <w:bottom w:val="single" w:sz="4" w:space="0" w:color="000000"/>
              <w:right w:val="single" w:sz="4" w:space="0" w:color="000000"/>
            </w:tcBorders>
            <w:shd w:val="clear" w:color="auto" w:fill="auto"/>
            <w:vAlign w:val="center"/>
          </w:tcPr>
          <w:p w14:paraId="10DF63B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Asistencial</w:t>
            </w:r>
          </w:p>
        </w:tc>
        <w:tc>
          <w:tcPr>
            <w:tcW w:w="3400" w:type="dxa"/>
            <w:tcBorders>
              <w:top w:val="nil"/>
              <w:left w:val="nil"/>
              <w:bottom w:val="single" w:sz="4" w:space="0" w:color="000000"/>
              <w:right w:val="single" w:sz="4" w:space="0" w:color="000000"/>
            </w:tcBorders>
            <w:shd w:val="clear" w:color="auto" w:fill="auto"/>
            <w:vAlign w:val="center"/>
          </w:tcPr>
          <w:p w14:paraId="65019B4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Conductor Mecánico</w:t>
            </w:r>
          </w:p>
        </w:tc>
        <w:tc>
          <w:tcPr>
            <w:tcW w:w="474" w:type="dxa"/>
            <w:tcBorders>
              <w:top w:val="nil"/>
              <w:left w:val="nil"/>
              <w:bottom w:val="single" w:sz="4" w:space="0" w:color="000000"/>
              <w:right w:val="single" w:sz="4" w:space="0" w:color="000000"/>
            </w:tcBorders>
            <w:shd w:val="clear" w:color="auto" w:fill="auto"/>
            <w:vAlign w:val="center"/>
          </w:tcPr>
          <w:p w14:paraId="09AEE24A"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482</w:t>
            </w:r>
          </w:p>
        </w:tc>
        <w:tc>
          <w:tcPr>
            <w:tcW w:w="383" w:type="dxa"/>
            <w:tcBorders>
              <w:top w:val="nil"/>
              <w:left w:val="nil"/>
              <w:bottom w:val="single" w:sz="4" w:space="0" w:color="000000"/>
              <w:right w:val="single" w:sz="4" w:space="0" w:color="000000"/>
            </w:tcBorders>
            <w:shd w:val="clear" w:color="auto" w:fill="auto"/>
            <w:vAlign w:val="center"/>
          </w:tcPr>
          <w:p w14:paraId="152BEF2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2</w:t>
            </w:r>
          </w:p>
        </w:tc>
        <w:tc>
          <w:tcPr>
            <w:tcW w:w="383" w:type="dxa"/>
            <w:tcBorders>
              <w:top w:val="nil"/>
              <w:left w:val="nil"/>
              <w:bottom w:val="single" w:sz="4" w:space="0" w:color="000000"/>
              <w:right w:val="single" w:sz="4" w:space="0" w:color="000000"/>
            </w:tcBorders>
            <w:shd w:val="clear" w:color="auto" w:fill="auto"/>
            <w:vAlign w:val="center"/>
          </w:tcPr>
          <w:p w14:paraId="51825C7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1</w:t>
            </w:r>
          </w:p>
        </w:tc>
        <w:tc>
          <w:tcPr>
            <w:tcW w:w="383" w:type="dxa"/>
            <w:tcBorders>
              <w:top w:val="nil"/>
              <w:left w:val="nil"/>
              <w:bottom w:val="single" w:sz="4" w:space="0" w:color="000000"/>
              <w:right w:val="single" w:sz="4" w:space="0" w:color="000000"/>
            </w:tcBorders>
            <w:shd w:val="clear" w:color="auto" w:fill="auto"/>
            <w:vAlign w:val="center"/>
          </w:tcPr>
          <w:p w14:paraId="1122555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6D31AE9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2603E6F2"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7EBF90C7"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16220B58"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X</w:t>
            </w:r>
          </w:p>
        </w:tc>
        <w:tc>
          <w:tcPr>
            <w:tcW w:w="383" w:type="dxa"/>
            <w:tcBorders>
              <w:top w:val="nil"/>
              <w:left w:val="nil"/>
              <w:bottom w:val="single" w:sz="4" w:space="0" w:color="000000"/>
              <w:right w:val="single" w:sz="4" w:space="0" w:color="000000"/>
            </w:tcBorders>
            <w:shd w:val="clear" w:color="auto" w:fill="auto"/>
            <w:vAlign w:val="center"/>
          </w:tcPr>
          <w:p w14:paraId="3319FBEC"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c>
          <w:tcPr>
            <w:tcW w:w="383" w:type="dxa"/>
            <w:tcBorders>
              <w:top w:val="nil"/>
              <w:left w:val="nil"/>
              <w:bottom w:val="single" w:sz="4" w:space="0" w:color="000000"/>
              <w:right w:val="single" w:sz="4" w:space="0" w:color="000000"/>
            </w:tcBorders>
            <w:shd w:val="clear" w:color="auto" w:fill="auto"/>
            <w:vAlign w:val="center"/>
          </w:tcPr>
          <w:p w14:paraId="06E2551E" w14:textId="77777777" w:rsidR="00A44A39" w:rsidRDefault="00B66862">
            <w:pPr>
              <w:jc w:val="center"/>
              <w:rPr>
                <w:rFonts w:ascii="Arial" w:eastAsia="Arial" w:hAnsi="Arial" w:cs="Arial"/>
                <w:color w:val="000000"/>
                <w:sz w:val="20"/>
                <w:szCs w:val="20"/>
              </w:rPr>
            </w:pPr>
            <w:r>
              <w:rPr>
                <w:rFonts w:ascii="Arial" w:eastAsia="Arial" w:hAnsi="Arial" w:cs="Arial"/>
                <w:color w:val="000000"/>
                <w:sz w:val="20"/>
                <w:szCs w:val="20"/>
              </w:rPr>
              <w:t> </w:t>
            </w:r>
          </w:p>
        </w:tc>
      </w:tr>
      <w:tr w:rsidR="00A44A39" w14:paraId="0886A47B" w14:textId="77777777">
        <w:trPr>
          <w:trHeight w:val="300"/>
        </w:trPr>
        <w:tc>
          <w:tcPr>
            <w:tcW w:w="1200" w:type="dxa"/>
            <w:tcBorders>
              <w:top w:val="nil"/>
              <w:left w:val="single" w:sz="4" w:space="0" w:color="000000"/>
              <w:bottom w:val="single" w:sz="4" w:space="0" w:color="000000"/>
              <w:right w:val="nil"/>
            </w:tcBorders>
            <w:shd w:val="clear" w:color="auto" w:fill="E7E6E6"/>
            <w:vAlign w:val="center"/>
          </w:tcPr>
          <w:p w14:paraId="6BE83CC4" w14:textId="77777777" w:rsidR="00A44A39" w:rsidRDefault="00B66862">
            <w:pPr>
              <w:rPr>
                <w:rFonts w:eastAsia="Calibri"/>
                <w:color w:val="000000"/>
                <w:sz w:val="22"/>
                <w:szCs w:val="22"/>
              </w:rPr>
            </w:pPr>
            <w:r>
              <w:rPr>
                <w:rFonts w:eastAsia="Calibri"/>
                <w:color w:val="000000"/>
                <w:sz w:val="22"/>
                <w:szCs w:val="22"/>
              </w:rPr>
              <w:t> </w:t>
            </w:r>
          </w:p>
        </w:tc>
        <w:tc>
          <w:tcPr>
            <w:tcW w:w="3400" w:type="dxa"/>
            <w:tcBorders>
              <w:top w:val="nil"/>
              <w:left w:val="nil"/>
              <w:bottom w:val="single" w:sz="4" w:space="0" w:color="000000"/>
              <w:right w:val="nil"/>
            </w:tcBorders>
            <w:shd w:val="clear" w:color="auto" w:fill="E7E6E6"/>
            <w:vAlign w:val="center"/>
          </w:tcPr>
          <w:p w14:paraId="4770153A" w14:textId="77777777" w:rsidR="00A44A39" w:rsidRDefault="00B66862">
            <w:pPr>
              <w:jc w:val="center"/>
              <w:rPr>
                <w:rFonts w:eastAsia="Calibri"/>
                <w:b/>
                <w:color w:val="000000"/>
                <w:sz w:val="22"/>
                <w:szCs w:val="22"/>
              </w:rPr>
            </w:pPr>
            <w:r>
              <w:rPr>
                <w:rFonts w:eastAsia="Calibri"/>
                <w:b/>
                <w:color w:val="000000"/>
                <w:sz w:val="22"/>
                <w:szCs w:val="22"/>
              </w:rPr>
              <w:t>TOTALES</w:t>
            </w:r>
          </w:p>
        </w:tc>
        <w:tc>
          <w:tcPr>
            <w:tcW w:w="474" w:type="dxa"/>
            <w:tcBorders>
              <w:top w:val="nil"/>
              <w:left w:val="nil"/>
              <w:bottom w:val="single" w:sz="4" w:space="0" w:color="000000"/>
              <w:right w:val="nil"/>
            </w:tcBorders>
            <w:shd w:val="clear" w:color="auto" w:fill="E7E6E6"/>
            <w:vAlign w:val="center"/>
          </w:tcPr>
          <w:p w14:paraId="31EB2CCF" w14:textId="77777777" w:rsidR="00A44A39" w:rsidRDefault="00B66862">
            <w:pPr>
              <w:rPr>
                <w:rFonts w:eastAsia="Calibri"/>
                <w:color w:val="000000"/>
                <w:sz w:val="22"/>
                <w:szCs w:val="22"/>
              </w:rPr>
            </w:pPr>
            <w:r>
              <w:rPr>
                <w:rFonts w:eastAsia="Calibri"/>
                <w:color w:val="000000"/>
                <w:sz w:val="22"/>
                <w:szCs w:val="22"/>
              </w:rPr>
              <w:t> </w:t>
            </w:r>
          </w:p>
        </w:tc>
        <w:tc>
          <w:tcPr>
            <w:tcW w:w="383" w:type="dxa"/>
            <w:tcBorders>
              <w:top w:val="nil"/>
              <w:left w:val="nil"/>
              <w:bottom w:val="single" w:sz="4" w:space="0" w:color="000000"/>
              <w:right w:val="nil"/>
            </w:tcBorders>
            <w:shd w:val="clear" w:color="auto" w:fill="E7E6E6"/>
            <w:vAlign w:val="center"/>
          </w:tcPr>
          <w:p w14:paraId="2622D9C4" w14:textId="77777777" w:rsidR="00A44A39" w:rsidRDefault="00B66862">
            <w:pPr>
              <w:rPr>
                <w:rFonts w:eastAsia="Calibri"/>
                <w:color w:val="000000"/>
                <w:sz w:val="22"/>
                <w:szCs w:val="22"/>
              </w:rPr>
            </w:pPr>
            <w:r>
              <w:rPr>
                <w:rFonts w:eastAsia="Calibri"/>
                <w:color w:val="000000"/>
                <w:sz w:val="22"/>
                <w:szCs w:val="22"/>
              </w:rPr>
              <w:t> </w:t>
            </w:r>
          </w:p>
        </w:tc>
        <w:tc>
          <w:tcPr>
            <w:tcW w:w="383" w:type="dxa"/>
            <w:tcBorders>
              <w:top w:val="nil"/>
              <w:left w:val="single" w:sz="4" w:space="0" w:color="000000"/>
              <w:bottom w:val="single" w:sz="4" w:space="0" w:color="000000"/>
              <w:right w:val="single" w:sz="4" w:space="0" w:color="000000"/>
            </w:tcBorders>
            <w:shd w:val="clear" w:color="auto" w:fill="FFFFFF"/>
            <w:vAlign w:val="center"/>
          </w:tcPr>
          <w:p w14:paraId="22090281" w14:textId="1A62451A" w:rsidR="00A44A39" w:rsidRDefault="00B66862">
            <w:pPr>
              <w:jc w:val="center"/>
              <w:rPr>
                <w:rFonts w:eastAsia="Calibri"/>
                <w:b/>
                <w:color w:val="000000"/>
                <w:sz w:val="22"/>
                <w:szCs w:val="22"/>
              </w:rPr>
            </w:pPr>
            <w:r>
              <w:rPr>
                <w:rFonts w:eastAsia="Calibri"/>
                <w:b/>
                <w:color w:val="000000"/>
                <w:sz w:val="22"/>
                <w:szCs w:val="22"/>
              </w:rPr>
              <w:t>3</w:t>
            </w:r>
            <w:r w:rsidR="007C2BD2">
              <w:rPr>
                <w:rFonts w:eastAsia="Calibri"/>
                <w:b/>
                <w:color w:val="000000"/>
                <w:sz w:val="22"/>
                <w:szCs w:val="22"/>
              </w:rPr>
              <w:t>1</w:t>
            </w:r>
          </w:p>
        </w:tc>
        <w:tc>
          <w:tcPr>
            <w:tcW w:w="383" w:type="dxa"/>
            <w:tcBorders>
              <w:top w:val="nil"/>
              <w:left w:val="nil"/>
              <w:bottom w:val="single" w:sz="4" w:space="0" w:color="000000"/>
              <w:right w:val="single" w:sz="4" w:space="0" w:color="000000"/>
            </w:tcBorders>
            <w:shd w:val="clear" w:color="auto" w:fill="auto"/>
            <w:vAlign w:val="center"/>
          </w:tcPr>
          <w:p w14:paraId="4EB1E195" w14:textId="77777777" w:rsidR="00A44A39" w:rsidRDefault="00B66862">
            <w:pPr>
              <w:jc w:val="center"/>
              <w:rPr>
                <w:rFonts w:eastAsia="Calibri"/>
                <w:b/>
                <w:color w:val="000000"/>
                <w:sz w:val="22"/>
                <w:szCs w:val="22"/>
              </w:rPr>
            </w:pPr>
            <w:r>
              <w:rPr>
                <w:rFonts w:eastAsia="Calibri"/>
                <w:b/>
                <w:color w:val="000000"/>
                <w:sz w:val="22"/>
                <w:szCs w:val="22"/>
              </w:rPr>
              <w:t>3</w:t>
            </w:r>
          </w:p>
        </w:tc>
        <w:tc>
          <w:tcPr>
            <w:tcW w:w="383" w:type="dxa"/>
            <w:tcBorders>
              <w:top w:val="nil"/>
              <w:left w:val="nil"/>
              <w:bottom w:val="single" w:sz="4" w:space="0" w:color="000000"/>
              <w:right w:val="single" w:sz="4" w:space="0" w:color="000000"/>
            </w:tcBorders>
            <w:shd w:val="clear" w:color="auto" w:fill="auto"/>
            <w:vAlign w:val="center"/>
          </w:tcPr>
          <w:p w14:paraId="1927FF5A" w14:textId="77777777" w:rsidR="00A44A39" w:rsidRDefault="00B66862">
            <w:pPr>
              <w:jc w:val="center"/>
              <w:rPr>
                <w:rFonts w:eastAsia="Calibri"/>
                <w:b/>
                <w:color w:val="000000"/>
                <w:sz w:val="22"/>
                <w:szCs w:val="22"/>
              </w:rPr>
            </w:pPr>
            <w:r>
              <w:rPr>
                <w:rFonts w:eastAsia="Calibri"/>
                <w:b/>
                <w:color w:val="000000"/>
                <w:sz w:val="22"/>
                <w:szCs w:val="22"/>
              </w:rPr>
              <w:t>10</w:t>
            </w:r>
          </w:p>
        </w:tc>
        <w:tc>
          <w:tcPr>
            <w:tcW w:w="383" w:type="dxa"/>
            <w:tcBorders>
              <w:top w:val="nil"/>
              <w:left w:val="nil"/>
              <w:bottom w:val="single" w:sz="4" w:space="0" w:color="000000"/>
              <w:right w:val="single" w:sz="4" w:space="0" w:color="000000"/>
            </w:tcBorders>
            <w:shd w:val="clear" w:color="auto" w:fill="auto"/>
            <w:vAlign w:val="center"/>
          </w:tcPr>
          <w:p w14:paraId="2E7BDA97" w14:textId="77777777" w:rsidR="00A44A39" w:rsidRDefault="00B66862">
            <w:pPr>
              <w:jc w:val="center"/>
              <w:rPr>
                <w:rFonts w:eastAsia="Calibri"/>
                <w:b/>
                <w:color w:val="000000"/>
                <w:sz w:val="22"/>
                <w:szCs w:val="22"/>
              </w:rPr>
            </w:pPr>
            <w:r>
              <w:rPr>
                <w:rFonts w:eastAsia="Calibri"/>
                <w:b/>
                <w:color w:val="000000"/>
                <w:sz w:val="22"/>
                <w:szCs w:val="22"/>
              </w:rPr>
              <w:t>6</w:t>
            </w:r>
          </w:p>
        </w:tc>
        <w:tc>
          <w:tcPr>
            <w:tcW w:w="383" w:type="dxa"/>
            <w:tcBorders>
              <w:top w:val="nil"/>
              <w:left w:val="nil"/>
              <w:bottom w:val="single" w:sz="4" w:space="0" w:color="000000"/>
              <w:right w:val="single" w:sz="4" w:space="0" w:color="000000"/>
            </w:tcBorders>
            <w:shd w:val="clear" w:color="auto" w:fill="auto"/>
            <w:vAlign w:val="center"/>
          </w:tcPr>
          <w:p w14:paraId="607DA3DA" w14:textId="77777777" w:rsidR="00A44A39" w:rsidRDefault="00B66862">
            <w:pPr>
              <w:jc w:val="center"/>
              <w:rPr>
                <w:rFonts w:eastAsia="Calibri"/>
                <w:b/>
                <w:color w:val="000000"/>
                <w:sz w:val="22"/>
                <w:szCs w:val="22"/>
              </w:rPr>
            </w:pPr>
            <w:r>
              <w:rPr>
                <w:rFonts w:eastAsia="Calibri"/>
                <w:b/>
                <w:color w:val="000000"/>
                <w:sz w:val="22"/>
                <w:szCs w:val="22"/>
              </w:rPr>
              <w:t>8</w:t>
            </w:r>
          </w:p>
        </w:tc>
        <w:tc>
          <w:tcPr>
            <w:tcW w:w="383" w:type="dxa"/>
            <w:tcBorders>
              <w:top w:val="nil"/>
              <w:left w:val="nil"/>
              <w:bottom w:val="single" w:sz="4" w:space="0" w:color="000000"/>
              <w:right w:val="single" w:sz="4" w:space="0" w:color="000000"/>
            </w:tcBorders>
            <w:shd w:val="clear" w:color="auto" w:fill="auto"/>
            <w:vAlign w:val="center"/>
          </w:tcPr>
          <w:p w14:paraId="4F03C999" w14:textId="77777777" w:rsidR="00A44A39" w:rsidRDefault="00B66862">
            <w:pPr>
              <w:jc w:val="center"/>
              <w:rPr>
                <w:rFonts w:eastAsia="Calibri"/>
                <w:b/>
                <w:color w:val="000000"/>
                <w:sz w:val="22"/>
                <w:szCs w:val="22"/>
              </w:rPr>
            </w:pPr>
            <w:r>
              <w:rPr>
                <w:rFonts w:eastAsia="Calibri"/>
                <w:b/>
                <w:color w:val="000000"/>
                <w:sz w:val="22"/>
                <w:szCs w:val="22"/>
              </w:rPr>
              <w:t>10</w:t>
            </w:r>
          </w:p>
        </w:tc>
        <w:tc>
          <w:tcPr>
            <w:tcW w:w="383" w:type="dxa"/>
            <w:tcBorders>
              <w:top w:val="nil"/>
              <w:left w:val="nil"/>
              <w:bottom w:val="single" w:sz="4" w:space="0" w:color="000000"/>
              <w:right w:val="single" w:sz="4" w:space="0" w:color="000000"/>
            </w:tcBorders>
            <w:shd w:val="clear" w:color="auto" w:fill="auto"/>
            <w:vAlign w:val="center"/>
          </w:tcPr>
          <w:p w14:paraId="5F59BF88" w14:textId="77777777" w:rsidR="00A44A39" w:rsidRDefault="00B66862">
            <w:pPr>
              <w:jc w:val="center"/>
              <w:rPr>
                <w:rFonts w:eastAsia="Calibri"/>
                <w:b/>
                <w:color w:val="000000"/>
                <w:sz w:val="22"/>
                <w:szCs w:val="22"/>
              </w:rPr>
            </w:pPr>
            <w:r>
              <w:rPr>
                <w:rFonts w:eastAsia="Calibri"/>
                <w:b/>
                <w:color w:val="000000"/>
                <w:sz w:val="22"/>
                <w:szCs w:val="22"/>
              </w:rPr>
              <w:t>1</w:t>
            </w:r>
          </w:p>
        </w:tc>
        <w:tc>
          <w:tcPr>
            <w:tcW w:w="383" w:type="dxa"/>
            <w:tcBorders>
              <w:top w:val="nil"/>
              <w:left w:val="nil"/>
              <w:bottom w:val="single" w:sz="4" w:space="0" w:color="000000"/>
              <w:right w:val="single" w:sz="4" w:space="0" w:color="000000"/>
            </w:tcBorders>
            <w:shd w:val="clear" w:color="auto" w:fill="auto"/>
            <w:vAlign w:val="center"/>
          </w:tcPr>
          <w:p w14:paraId="1115B327" w14:textId="77777777" w:rsidR="00A44A39" w:rsidRDefault="00B66862">
            <w:pPr>
              <w:jc w:val="center"/>
              <w:rPr>
                <w:rFonts w:eastAsia="Calibri"/>
                <w:b/>
                <w:color w:val="000000"/>
                <w:sz w:val="22"/>
                <w:szCs w:val="22"/>
              </w:rPr>
            </w:pPr>
            <w:r>
              <w:rPr>
                <w:rFonts w:eastAsia="Calibri"/>
                <w:b/>
                <w:color w:val="000000"/>
                <w:sz w:val="22"/>
                <w:szCs w:val="22"/>
              </w:rPr>
              <w:t>1</w:t>
            </w:r>
          </w:p>
        </w:tc>
      </w:tr>
    </w:tbl>
    <w:p w14:paraId="0952F368" w14:textId="77777777" w:rsidR="00A44A39" w:rsidRDefault="00A44A39">
      <w:pPr>
        <w:jc w:val="both"/>
      </w:pPr>
    </w:p>
    <w:p w14:paraId="4E509115" w14:textId="0ED59E5D" w:rsidR="00A44A39" w:rsidRDefault="00B66862">
      <w:pPr>
        <w:jc w:val="both"/>
      </w:pPr>
      <w:r>
        <w:t xml:space="preserve">La planta de personal aprobada para </w:t>
      </w:r>
      <w:proofErr w:type="spellStart"/>
      <w:r>
        <w:t>Incolballet</w:t>
      </w:r>
      <w:proofErr w:type="spellEnd"/>
      <w:r>
        <w:t xml:space="preserve"> está conformada por un total de </w:t>
      </w:r>
      <w:r w:rsidR="007C2BD2">
        <w:t>treinta y un</w:t>
      </w:r>
      <w:r>
        <w:t xml:space="preserve"> (3</w:t>
      </w:r>
      <w:r w:rsidR="007C2BD2">
        <w:t>1</w:t>
      </w:r>
      <w:r>
        <w:t xml:space="preserve">) empleos, de los cuales </w:t>
      </w:r>
      <w:r w:rsidR="007C2BD2">
        <w:t>ninguno</w:t>
      </w:r>
      <w:r>
        <w:t xml:space="preserve"> se encuentra en vacancia definitiva</w:t>
      </w:r>
      <w:r w:rsidR="007C2BD2">
        <w:t>.</w:t>
      </w:r>
    </w:p>
    <w:p w14:paraId="03DAA43B" w14:textId="77777777" w:rsidR="00A44A39" w:rsidRDefault="00A44A39">
      <w:pPr>
        <w:jc w:val="both"/>
      </w:pPr>
    </w:p>
    <w:p w14:paraId="26FED706" w14:textId="77777777" w:rsidR="00A44A39" w:rsidRDefault="00A44A39">
      <w:pPr>
        <w:jc w:val="both"/>
      </w:pPr>
    </w:p>
    <w:p w14:paraId="198BC1EC" w14:textId="77777777" w:rsidR="00A44A39" w:rsidRDefault="00A44A39">
      <w:pPr>
        <w:jc w:val="both"/>
        <w:rPr>
          <w:rFonts w:ascii="Arial" w:eastAsia="Arial" w:hAnsi="Arial" w:cs="Arial"/>
          <w:color w:val="222222"/>
        </w:rPr>
      </w:pPr>
    </w:p>
    <w:sectPr w:rsidR="00A44A39">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B66E" w14:textId="77777777" w:rsidR="00D63766" w:rsidRDefault="00D63766">
      <w:r>
        <w:separator/>
      </w:r>
    </w:p>
  </w:endnote>
  <w:endnote w:type="continuationSeparator" w:id="0">
    <w:p w14:paraId="458E7CC8" w14:textId="77777777" w:rsidR="00D63766" w:rsidRDefault="00D6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022" w14:textId="77777777" w:rsidR="00A44A39" w:rsidRDefault="00B66862">
    <w:pPr>
      <w:pBdr>
        <w:top w:val="nil"/>
        <w:left w:val="nil"/>
        <w:bottom w:val="nil"/>
        <w:right w:val="nil"/>
        <w:between w:val="nil"/>
      </w:pBdr>
      <w:tabs>
        <w:tab w:val="center" w:pos="4419"/>
        <w:tab w:val="right" w:pos="8838"/>
      </w:tabs>
      <w:rPr>
        <w:rFonts w:eastAsia="Calibri"/>
        <w:color w:val="000000"/>
        <w:sz w:val="22"/>
        <w:szCs w:val="22"/>
      </w:rPr>
    </w:pPr>
    <w:r>
      <w:rPr>
        <w:rFonts w:eastAsia="Calibri"/>
        <w:noProof/>
        <w:color w:val="000000"/>
        <w:sz w:val="22"/>
        <w:szCs w:val="22"/>
      </w:rPr>
      <w:drawing>
        <wp:inline distT="0" distB="0" distL="0" distR="0" wp14:anchorId="56FE3752" wp14:editId="719D1975">
          <wp:extent cx="6067425" cy="857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425" cy="8572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9596" w14:textId="77777777" w:rsidR="00D63766" w:rsidRDefault="00D63766">
      <w:r>
        <w:separator/>
      </w:r>
    </w:p>
  </w:footnote>
  <w:footnote w:type="continuationSeparator" w:id="0">
    <w:p w14:paraId="1DBD4BBB" w14:textId="77777777" w:rsidR="00D63766" w:rsidRDefault="00D6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1210" w14:textId="5531C907" w:rsidR="00A44A39" w:rsidRDefault="00E359B9">
    <w:pPr>
      <w:pBdr>
        <w:top w:val="nil"/>
        <w:left w:val="nil"/>
        <w:bottom w:val="nil"/>
        <w:right w:val="nil"/>
        <w:between w:val="nil"/>
      </w:pBdr>
      <w:tabs>
        <w:tab w:val="center" w:pos="4419"/>
        <w:tab w:val="right" w:pos="8838"/>
      </w:tabs>
      <w:rPr>
        <w:rFonts w:eastAsia="Calibri"/>
        <w:color w:val="000000"/>
        <w:sz w:val="16"/>
        <w:szCs w:val="16"/>
      </w:rPr>
    </w:pPr>
    <w:r>
      <w:rPr>
        <w:noProof/>
      </w:rPr>
      <w:drawing>
        <wp:anchor distT="0" distB="0" distL="0" distR="0" simplePos="0" relativeHeight="251659264" behindDoc="1" locked="0" layoutInCell="1" hidden="0" allowOverlap="1" wp14:anchorId="71F9E60F" wp14:editId="1E380892">
          <wp:simplePos x="0" y="0"/>
          <wp:positionH relativeFrom="column">
            <wp:posOffset>-485775</wp:posOffset>
          </wp:positionH>
          <wp:positionV relativeFrom="paragraph">
            <wp:posOffset>-297180</wp:posOffset>
          </wp:positionV>
          <wp:extent cx="960120" cy="727019"/>
          <wp:effectExtent l="0" t="0" r="5080" b="0"/>
          <wp:wrapNone/>
          <wp:docPr id="138"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1"/>
                  <a:srcRect/>
                  <a:stretch>
                    <a:fillRect/>
                  </a:stretch>
                </pic:blipFill>
                <pic:spPr>
                  <a:xfrm>
                    <a:off x="0" y="0"/>
                    <a:ext cx="960120" cy="727019"/>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F77"/>
    <w:multiLevelType w:val="multilevel"/>
    <w:tmpl w:val="923CA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8F54A5"/>
    <w:multiLevelType w:val="multilevel"/>
    <w:tmpl w:val="1B608B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39"/>
    <w:rsid w:val="003C0630"/>
    <w:rsid w:val="007C2BD2"/>
    <w:rsid w:val="00A44A39"/>
    <w:rsid w:val="00B32E30"/>
    <w:rsid w:val="00B66862"/>
    <w:rsid w:val="00D63766"/>
    <w:rsid w:val="00E359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EBE7"/>
  <w15:docId w15:val="{C179FA29-EDFB-4A6B-84E2-063581FB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0F5"/>
    <w:rPr>
      <w:rFonts w:eastAsiaTheme="minorEastAsia"/>
    </w:rPr>
  </w:style>
  <w:style w:type="paragraph" w:styleId="Ttulo1">
    <w:name w:val="heading 1"/>
    <w:basedOn w:val="Normal"/>
    <w:link w:val="Ttulo1Car"/>
    <w:uiPriority w:val="9"/>
    <w:qFormat/>
    <w:rsid w:val="00DF672E"/>
    <w:pPr>
      <w:widowControl w:val="0"/>
      <w:autoSpaceDE w:val="0"/>
      <w:autoSpaceDN w:val="0"/>
      <w:ind w:left="119"/>
      <w:outlineLvl w:val="0"/>
    </w:pPr>
    <w:rPr>
      <w:rFonts w:ascii="Arial" w:eastAsia="Arial" w:hAnsi="Arial" w:cs="Arial"/>
      <w:b/>
      <w:bCs/>
      <w:sz w:val="20"/>
      <w:szCs w:val="20"/>
      <w:lang w:val="es-ES"/>
    </w:rPr>
  </w:style>
  <w:style w:type="paragraph" w:styleId="Ttulo2">
    <w:name w:val="heading 2"/>
    <w:basedOn w:val="Normal"/>
    <w:next w:val="Normal"/>
    <w:link w:val="Ttulo2Car"/>
    <w:uiPriority w:val="9"/>
    <w:unhideWhenUsed/>
    <w:qFormat/>
    <w:rsid w:val="00822F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1DD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C4830"/>
    <w:pPr>
      <w:tabs>
        <w:tab w:val="center" w:pos="4419"/>
        <w:tab w:val="right" w:pos="8838"/>
      </w:tabs>
    </w:pPr>
    <w:rPr>
      <w:rFonts w:eastAsiaTheme="minorHAnsi"/>
      <w:sz w:val="22"/>
      <w:szCs w:val="22"/>
      <w:lang w:val="es-CO"/>
    </w:rPr>
  </w:style>
  <w:style w:type="character" w:customStyle="1" w:styleId="EncabezadoCar">
    <w:name w:val="Encabezado Car"/>
    <w:basedOn w:val="Fuentedeprrafopredeter"/>
    <w:link w:val="Encabezado"/>
    <w:uiPriority w:val="99"/>
    <w:rsid w:val="004C4830"/>
  </w:style>
  <w:style w:type="paragraph" w:styleId="Piedepgina">
    <w:name w:val="footer"/>
    <w:basedOn w:val="Normal"/>
    <w:link w:val="PiedepginaCar"/>
    <w:uiPriority w:val="99"/>
    <w:unhideWhenUsed/>
    <w:rsid w:val="004C4830"/>
    <w:pPr>
      <w:tabs>
        <w:tab w:val="center" w:pos="4419"/>
        <w:tab w:val="right" w:pos="8838"/>
      </w:tabs>
    </w:pPr>
    <w:rPr>
      <w:rFonts w:eastAsiaTheme="minorHAnsi"/>
      <w:sz w:val="22"/>
      <w:szCs w:val="22"/>
      <w:lang w:val="es-CO"/>
    </w:rPr>
  </w:style>
  <w:style w:type="character" w:customStyle="1" w:styleId="PiedepginaCar">
    <w:name w:val="Pie de página Car"/>
    <w:basedOn w:val="Fuentedeprrafopredeter"/>
    <w:link w:val="Piedepgina"/>
    <w:uiPriority w:val="99"/>
    <w:rsid w:val="004C4830"/>
  </w:style>
  <w:style w:type="paragraph" w:styleId="Textodeglobo">
    <w:name w:val="Balloon Text"/>
    <w:basedOn w:val="Normal"/>
    <w:link w:val="TextodegloboCar"/>
    <w:uiPriority w:val="99"/>
    <w:semiHidden/>
    <w:unhideWhenUsed/>
    <w:rsid w:val="001A79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94A"/>
    <w:rPr>
      <w:rFonts w:ascii="Segoe UI" w:hAnsi="Segoe UI" w:cs="Segoe UI"/>
      <w:sz w:val="18"/>
      <w:szCs w:val="18"/>
    </w:rPr>
  </w:style>
  <w:style w:type="character" w:customStyle="1" w:styleId="spanlista">
    <w:name w:val="spanlista"/>
    <w:basedOn w:val="Fuentedeprrafopredeter"/>
    <w:rsid w:val="008E40F5"/>
  </w:style>
  <w:style w:type="paragraph" w:styleId="Prrafodelista">
    <w:name w:val="List Paragraph"/>
    <w:basedOn w:val="Normal"/>
    <w:uiPriority w:val="34"/>
    <w:qFormat/>
    <w:rsid w:val="003247B5"/>
    <w:pPr>
      <w:ind w:left="720"/>
      <w:contextualSpacing/>
    </w:pPr>
  </w:style>
  <w:style w:type="table" w:styleId="Tablaconcuadrcula">
    <w:name w:val="Table Grid"/>
    <w:basedOn w:val="Tablanormal"/>
    <w:rsid w:val="000A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952075053239237195gmail-il">
    <w:name w:val="m_7952075053239237195gmail-il"/>
    <w:basedOn w:val="Fuentedeprrafopredeter"/>
    <w:rsid w:val="00033CCD"/>
  </w:style>
  <w:style w:type="paragraph" w:styleId="Textoindependiente3">
    <w:name w:val="Body Text 3"/>
    <w:basedOn w:val="Normal"/>
    <w:link w:val="Textoindependiente3Car"/>
    <w:rsid w:val="00CE2D3D"/>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E2D3D"/>
    <w:rPr>
      <w:rFonts w:ascii="Times New Roman" w:eastAsia="Times New Roman" w:hAnsi="Times New Roman" w:cs="Times New Roman"/>
      <w:sz w:val="16"/>
      <w:szCs w:val="16"/>
      <w:lang w:val="es-ES" w:eastAsia="es-ES"/>
    </w:rPr>
  </w:style>
  <w:style w:type="table" w:customStyle="1" w:styleId="Tablaconcuadrcula1">
    <w:name w:val="Tabla con cuadrícula1"/>
    <w:basedOn w:val="Tablanormal"/>
    <w:next w:val="Tablaconcuadrcula"/>
    <w:rsid w:val="002331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DF672E"/>
    <w:pPr>
      <w:spacing w:after="120"/>
    </w:pPr>
  </w:style>
  <w:style w:type="character" w:customStyle="1" w:styleId="TextoindependienteCar">
    <w:name w:val="Texto independiente Car"/>
    <w:basedOn w:val="Fuentedeprrafopredeter"/>
    <w:link w:val="Textoindependiente"/>
    <w:uiPriority w:val="99"/>
    <w:semiHidden/>
    <w:rsid w:val="00DF672E"/>
    <w:rPr>
      <w:rFonts w:eastAsiaTheme="minorEastAsia"/>
      <w:sz w:val="24"/>
      <w:szCs w:val="24"/>
      <w:lang w:val="es-ES_tradnl"/>
    </w:rPr>
  </w:style>
  <w:style w:type="character" w:customStyle="1" w:styleId="Ttulo1Car">
    <w:name w:val="Título 1 Car"/>
    <w:basedOn w:val="Fuentedeprrafopredeter"/>
    <w:link w:val="Ttulo1"/>
    <w:uiPriority w:val="1"/>
    <w:rsid w:val="00DF672E"/>
    <w:rPr>
      <w:rFonts w:ascii="Arial" w:eastAsia="Arial" w:hAnsi="Arial" w:cs="Arial"/>
      <w:b/>
      <w:bCs/>
      <w:sz w:val="20"/>
      <w:szCs w:val="20"/>
      <w:lang w:val="es-ES"/>
    </w:rPr>
  </w:style>
  <w:style w:type="character" w:styleId="Hipervnculo">
    <w:name w:val="Hyperlink"/>
    <w:basedOn w:val="Fuentedeprrafopredeter"/>
    <w:uiPriority w:val="99"/>
    <w:unhideWhenUsed/>
    <w:rsid w:val="00B61FD5"/>
    <w:rPr>
      <w:color w:val="0563C1" w:themeColor="hyperlink"/>
      <w:u w:val="single"/>
    </w:rPr>
  </w:style>
  <w:style w:type="paragraph" w:styleId="NormalWeb">
    <w:name w:val="Normal (Web)"/>
    <w:basedOn w:val="Normal"/>
    <w:uiPriority w:val="99"/>
    <w:semiHidden/>
    <w:unhideWhenUsed/>
    <w:rsid w:val="00197FDD"/>
    <w:pPr>
      <w:spacing w:before="100" w:beforeAutospacing="1" w:after="100" w:afterAutospacing="1"/>
    </w:pPr>
    <w:rPr>
      <w:rFonts w:ascii="Times New Roman" w:eastAsia="Times New Roman" w:hAnsi="Times New Roman" w:cs="Times New Roman"/>
      <w:lang w:val="es-CO"/>
    </w:rPr>
  </w:style>
  <w:style w:type="character" w:styleId="Textoennegrita">
    <w:name w:val="Strong"/>
    <w:basedOn w:val="Fuentedeprrafopredeter"/>
    <w:uiPriority w:val="22"/>
    <w:qFormat/>
    <w:rsid w:val="00197FDD"/>
    <w:rPr>
      <w:b/>
      <w:bCs/>
    </w:rPr>
  </w:style>
  <w:style w:type="character" w:customStyle="1" w:styleId="Ttulo3Car">
    <w:name w:val="Título 3 Car"/>
    <w:basedOn w:val="Fuentedeprrafopredeter"/>
    <w:link w:val="Ttulo3"/>
    <w:uiPriority w:val="9"/>
    <w:semiHidden/>
    <w:rsid w:val="00FC1DD1"/>
    <w:rPr>
      <w:rFonts w:asciiTheme="majorHAnsi" w:eastAsiaTheme="majorEastAsia" w:hAnsiTheme="majorHAnsi" w:cstheme="majorBidi"/>
      <w:color w:val="1F4D78" w:themeColor="accent1" w:themeShade="7F"/>
      <w:sz w:val="24"/>
      <w:szCs w:val="24"/>
      <w:lang w:val="es-ES_tradnl"/>
    </w:rPr>
  </w:style>
  <w:style w:type="character" w:customStyle="1" w:styleId="Ttulo2Car">
    <w:name w:val="Título 2 Car"/>
    <w:basedOn w:val="Fuentedeprrafopredeter"/>
    <w:link w:val="Ttulo2"/>
    <w:uiPriority w:val="9"/>
    <w:semiHidden/>
    <w:rsid w:val="00822F4F"/>
    <w:rPr>
      <w:rFonts w:asciiTheme="majorHAnsi" w:eastAsiaTheme="majorEastAsia" w:hAnsiTheme="majorHAnsi" w:cstheme="majorBidi"/>
      <w:color w:val="2E74B5" w:themeColor="accent1" w:themeShade="BF"/>
      <w:sz w:val="26"/>
      <w:szCs w:val="26"/>
      <w:lang w:val="es-ES_tradnl"/>
    </w:rPr>
  </w:style>
  <w:style w:type="paragraph" w:styleId="Textoindependiente2">
    <w:name w:val="Body Text 2"/>
    <w:basedOn w:val="Normal"/>
    <w:link w:val="Textoindependiente2Car"/>
    <w:rsid w:val="00CA43E6"/>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CA43E6"/>
    <w:rPr>
      <w:rFonts w:ascii="Times New Roman" w:eastAsia="Times New Roman" w:hAnsi="Times New Roman" w:cs="Times New Roman"/>
      <w:sz w:val="20"/>
      <w:szCs w:val="20"/>
      <w:lang w:val="es-ES" w:eastAsia="es-ES"/>
    </w:rPr>
  </w:style>
  <w:style w:type="paragraph" w:customStyle="1" w:styleId="Default">
    <w:name w:val="Default"/>
    <w:rsid w:val="00E97517"/>
    <w:pPr>
      <w:autoSpaceDE w:val="0"/>
      <w:autoSpaceDN w:val="0"/>
      <w:adjustRightInd w:val="0"/>
    </w:pPr>
    <w:rPr>
      <w:color w:val="000000"/>
    </w:rPr>
  </w:style>
  <w:style w:type="character" w:styleId="Textodelmarcadordeposicin">
    <w:name w:val="Placeholder Text"/>
    <w:basedOn w:val="Fuentedeprrafopredeter"/>
    <w:uiPriority w:val="99"/>
    <w:semiHidden/>
    <w:rsid w:val="000E14A3"/>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1Icdw3iBe0n0+KGkr57KOTwF2g==">AMUW2mXRLIRkVrH6Am/KQbl3IOXizcaXk8KkH02vUlzezb8XHGFjkgG5R6U3VB3N+hpDn32S/cnQDolGMMXPxxd8CReNgu3cRsI7ffQJjzj0EBEvqXNjXSre2Dr0jUfrDRAoIqwa3QGK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Microsoft Office User</cp:lastModifiedBy>
  <cp:revision>3</cp:revision>
  <dcterms:created xsi:type="dcterms:W3CDTF">2021-04-22T21:52:00Z</dcterms:created>
  <dcterms:modified xsi:type="dcterms:W3CDTF">2022-02-01T00:15:00Z</dcterms:modified>
</cp:coreProperties>
</file>